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8" w:type="dxa"/>
        <w:tblInd w:w="108" w:type="dxa"/>
        <w:tblLook w:val="01E0" w:firstRow="1" w:lastRow="1" w:firstColumn="1" w:lastColumn="1" w:noHBand="0" w:noVBand="0"/>
      </w:tblPr>
      <w:tblGrid>
        <w:gridCol w:w="3336"/>
        <w:gridCol w:w="5912"/>
      </w:tblGrid>
      <w:tr w:rsidR="00B212CF" w:rsidRPr="00CD1DEF" w14:paraId="1B1F4F21" w14:textId="77777777" w:rsidTr="00963190">
        <w:trPr>
          <w:trHeight w:val="983"/>
        </w:trPr>
        <w:tc>
          <w:tcPr>
            <w:tcW w:w="3336" w:type="dxa"/>
          </w:tcPr>
          <w:p w14:paraId="02775F89" w14:textId="7DE8CC18" w:rsidR="00B212CF" w:rsidRDefault="00B212CF" w:rsidP="00963190">
            <w:pPr>
              <w:jc w:val="center"/>
              <w:rPr>
                <w:b/>
                <w:bCs/>
                <w:sz w:val="26"/>
              </w:rPr>
            </w:pPr>
            <w:bookmarkStart w:id="0" w:name="_GoBack"/>
            <w:bookmarkEnd w:id="0"/>
            <w:r>
              <w:rPr>
                <w:b/>
                <w:bCs/>
                <w:noProof/>
                <w:sz w:val="26"/>
              </w:rPr>
              <w:t>HỘI ĐỒNG</w:t>
            </w:r>
            <w:r w:rsidRPr="00871593">
              <w:rPr>
                <w:b/>
                <w:bCs/>
                <w:sz w:val="26"/>
              </w:rPr>
              <w:t xml:space="preserve"> NHÂN DÂN</w:t>
            </w:r>
            <w:r w:rsidRPr="002A408A">
              <w:rPr>
                <w:b/>
                <w:bCs/>
                <w:sz w:val="26"/>
              </w:rPr>
              <w:br/>
              <w:t xml:space="preserve">TỈNH </w:t>
            </w:r>
            <w:r w:rsidR="005A7373">
              <w:rPr>
                <w:b/>
                <w:bCs/>
                <w:sz w:val="26"/>
              </w:rPr>
              <w:t>THANH HÓA</w:t>
            </w:r>
          </w:p>
          <w:p w14:paraId="2CF7A74D" w14:textId="3A7ED08D" w:rsidR="00963190" w:rsidRDefault="00963190" w:rsidP="00963190">
            <w:pPr>
              <w:jc w:val="center"/>
              <w:rPr>
                <w:b/>
                <w:bCs/>
                <w:sz w:val="26"/>
              </w:rPr>
            </w:pPr>
            <w:r>
              <w:rPr>
                <w:b/>
                <w:bCs/>
                <w:noProof/>
                <w:sz w:val="26"/>
              </w:rPr>
              <mc:AlternateContent>
                <mc:Choice Requires="wps">
                  <w:drawing>
                    <wp:anchor distT="0" distB="0" distL="114300" distR="114300" simplePos="0" relativeHeight="251657216" behindDoc="0" locked="0" layoutInCell="1" allowOverlap="1" wp14:anchorId="13A7C3CC" wp14:editId="3B2A6A53">
                      <wp:simplePos x="0" y="0"/>
                      <wp:positionH relativeFrom="column">
                        <wp:posOffset>685800</wp:posOffset>
                      </wp:positionH>
                      <wp:positionV relativeFrom="paragraph">
                        <wp:posOffset>22225</wp:posOffset>
                      </wp:positionV>
                      <wp:extent cx="5619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AB86C9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9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"/>
                  </w:pict>
                </mc:Fallback>
              </mc:AlternateContent>
            </w:r>
          </w:p>
          <w:p w14:paraId="5F129DA6" w14:textId="3898C12B" w:rsidR="00963190" w:rsidRPr="005A487D" w:rsidRDefault="00963190" w:rsidP="00963190">
            <w:pPr>
              <w:jc w:val="center"/>
              <w:rPr>
                <w:b/>
                <w:bCs/>
                <w:sz w:val="26"/>
              </w:rPr>
            </w:pPr>
            <w:r>
              <w:rPr>
                <w:sz w:val="26"/>
              </w:rPr>
              <w:t>Số:           /2024/NQ</w:t>
            </w:r>
            <w:r w:rsidRPr="00574FA6">
              <w:rPr>
                <w:sz w:val="26"/>
              </w:rPr>
              <w:t>-</w:t>
            </w:r>
            <w:r>
              <w:rPr>
                <w:sz w:val="26"/>
              </w:rPr>
              <w:t>HĐND</w:t>
            </w:r>
          </w:p>
        </w:tc>
        <w:tc>
          <w:tcPr>
            <w:tcW w:w="5912" w:type="dxa"/>
          </w:tcPr>
          <w:p w14:paraId="4C5AD70F" w14:textId="4011830B" w:rsidR="00963190" w:rsidRDefault="00B212CF" w:rsidP="00963190">
            <w:pPr>
              <w:jc w:val="center"/>
              <w:rPr>
                <w:b/>
                <w:bCs/>
              </w:rPr>
            </w:pPr>
            <w:r w:rsidRPr="002A408A">
              <w:rPr>
                <w:b/>
                <w:bCs/>
                <w:sz w:val="26"/>
              </w:rPr>
              <w:t xml:space="preserve">CỘNG HÒA XÃ HỘI CHỦ NGHĨA VIỆT </w:t>
            </w:r>
            <w:smartTag w:uri="urn:schemas-microsoft-com:office:smarttags" w:element="place">
              <w:smartTag w:uri="urn:schemas-microsoft-com:office:smarttags" w:element="country-region">
                <w:r w:rsidRPr="002A408A">
                  <w:rPr>
                    <w:b/>
                    <w:bCs/>
                    <w:sz w:val="26"/>
                  </w:rPr>
                  <w:t>NAM</w:t>
                </w:r>
              </w:smartTag>
            </w:smartTag>
            <w:r w:rsidRPr="002A408A">
              <w:rPr>
                <w:b/>
                <w:bCs/>
                <w:sz w:val="26"/>
              </w:rPr>
              <w:br/>
            </w:r>
            <w:r w:rsidRPr="00646EE1">
              <w:rPr>
                <w:b/>
                <w:bCs/>
              </w:rPr>
              <w:t>Độc lập - Tự do - Hạnh phúc</w:t>
            </w:r>
          </w:p>
          <w:p w14:paraId="6836D892" w14:textId="2B38B158" w:rsidR="00B212CF" w:rsidRPr="002A408A" w:rsidRDefault="00963190" w:rsidP="005A7373">
            <w:pPr>
              <w:jc w:val="center"/>
              <w:rPr>
                <w:sz w:val="26"/>
              </w:rPr>
            </w:pPr>
            <w:r>
              <w:rPr>
                <w:b/>
                <w:bCs/>
                <w:noProof/>
                <w:sz w:val="26"/>
              </w:rPr>
              <mc:AlternateContent>
                <mc:Choice Requires="wps">
                  <w:drawing>
                    <wp:anchor distT="0" distB="0" distL="114300" distR="114300" simplePos="0" relativeHeight="251658240" behindDoc="0" locked="0" layoutInCell="1" allowOverlap="1" wp14:anchorId="2E2CE821" wp14:editId="679D4F1C">
                      <wp:simplePos x="0" y="0"/>
                      <wp:positionH relativeFrom="column">
                        <wp:posOffset>755650</wp:posOffset>
                      </wp:positionH>
                      <wp:positionV relativeFrom="paragraph">
                        <wp:posOffset>34925</wp:posOffset>
                      </wp:positionV>
                      <wp:extent cx="20923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DF79A5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75pt" to="224.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"/>
                  </w:pict>
                </mc:Fallback>
              </mc:AlternateContent>
            </w:r>
            <w:r w:rsidR="00B212CF" w:rsidRPr="002A408A">
              <w:rPr>
                <w:b/>
                <w:bCs/>
                <w:sz w:val="26"/>
              </w:rPr>
              <w:br/>
            </w:r>
            <w:r w:rsidR="005A7373">
              <w:rPr>
                <w:i/>
                <w:iCs/>
                <w:sz w:val="26"/>
              </w:rPr>
              <w:t>Thanh Hóa</w:t>
            </w:r>
            <w:r w:rsidRPr="00594CBD">
              <w:rPr>
                <w:i/>
                <w:iCs/>
                <w:sz w:val="26"/>
              </w:rPr>
              <w:t xml:space="preserve">, ngày </w:t>
            </w:r>
            <w:r>
              <w:rPr>
                <w:i/>
                <w:iCs/>
                <w:sz w:val="26"/>
              </w:rPr>
              <w:t xml:space="preserve"> </w:t>
            </w:r>
            <w:r w:rsidRPr="00594CBD">
              <w:rPr>
                <w:i/>
                <w:iCs/>
                <w:sz w:val="26"/>
              </w:rPr>
              <w:t xml:space="preserve"> </w:t>
            </w:r>
            <w:r>
              <w:rPr>
                <w:i/>
                <w:iCs/>
                <w:sz w:val="26"/>
              </w:rPr>
              <w:t xml:space="preserve">  </w:t>
            </w:r>
            <w:r w:rsidRPr="00594CBD">
              <w:rPr>
                <w:i/>
                <w:iCs/>
                <w:sz w:val="26"/>
              </w:rPr>
              <w:t xml:space="preserve">   tháng   </w:t>
            </w:r>
            <w:r>
              <w:rPr>
                <w:i/>
                <w:iCs/>
                <w:sz w:val="26"/>
              </w:rPr>
              <w:t xml:space="preserve">  </w:t>
            </w:r>
            <w:r w:rsidRPr="00594CBD">
              <w:rPr>
                <w:i/>
                <w:iCs/>
                <w:sz w:val="26"/>
              </w:rPr>
              <w:t xml:space="preserve"> </w:t>
            </w:r>
            <w:r>
              <w:rPr>
                <w:i/>
                <w:iCs/>
                <w:sz w:val="26"/>
              </w:rPr>
              <w:t>năm 2024</w:t>
            </w:r>
          </w:p>
        </w:tc>
      </w:tr>
    </w:tbl>
    <w:p w14:paraId="79C2897F" w14:textId="77777777" w:rsidR="00EF3631" w:rsidRDefault="007B0F23" w:rsidP="004F62EE">
      <w:pPr>
        <w:spacing w:before="120" w:after="120"/>
        <w:jc w:val="center"/>
        <w:rPr>
          <w:b/>
          <w:bCs/>
        </w:rPr>
      </w:pPr>
      <w:r>
        <w:rPr>
          <w:b/>
          <w:bCs/>
          <w:noProof/>
        </w:rPr>
        <mc:AlternateContent>
          <mc:Choice Requires="wps">
            <w:drawing>
              <wp:anchor distT="0" distB="0" distL="114300" distR="114300" simplePos="0" relativeHeight="251659264" behindDoc="0" locked="0" layoutInCell="1" allowOverlap="1" wp14:anchorId="1366D3AD" wp14:editId="20160CDB">
                <wp:simplePos x="0" y="0"/>
                <wp:positionH relativeFrom="column">
                  <wp:posOffset>463550</wp:posOffset>
                </wp:positionH>
                <wp:positionV relativeFrom="paragraph">
                  <wp:posOffset>63500</wp:posOffset>
                </wp:positionV>
                <wp:extent cx="1257300" cy="342900"/>
                <wp:effectExtent l="10160" t="12700" r="889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F8FBF83" w14:textId="77777777" w:rsidR="00B212CF" w:rsidRPr="005D440A" w:rsidRDefault="00B212CF" w:rsidP="00B212CF">
                            <w:pPr>
                              <w:jc w:val="center"/>
                              <w:rPr>
                                <w:b/>
                                <w:sz w:val="26"/>
                                <w:szCs w:val="26"/>
                              </w:rPr>
                            </w:pPr>
                            <w:r w:rsidRPr="005D440A">
                              <w:rPr>
                                <w:b/>
                                <w:sz w:val="26"/>
                                <w:szCs w:val="26"/>
                              </w:rPr>
                              <w:t>DỰ THẢO</w:t>
                            </w:r>
                          </w:p>
                          <w:p w14:paraId="68B2BAD6" w14:textId="77777777" w:rsidR="00B212CF" w:rsidRDefault="00B212CF" w:rsidP="00B212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366D3AD" id="_x0000_t202" coordsize="21600,21600" o:spt="202" path="m,l,21600r21600,l21600,xe">
                <v:stroke joinstyle="miter"/>
                <v:path gradientshapeok="t" o:connecttype="rect"/>
              </v:shapetype>
              <v:shape id="Text Box 6" o:spid="_x0000_s1026" type="#_x0000_t202" style="position:absolute;left:0;text-align:left;margin-left:36.5pt;margin-top: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txFAIAACs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">
                <v:textbox>
                  <w:txbxContent>
                    <w:p w14:paraId="1F8FBF83" w14:textId="77777777" w:rsidR="00B212CF" w:rsidRPr="005D440A" w:rsidRDefault="00B212CF" w:rsidP="00B212CF">
                      <w:pPr>
                        <w:jc w:val="center"/>
                        <w:rPr>
                          <w:b/>
                          <w:sz w:val="26"/>
                          <w:szCs w:val="26"/>
                        </w:rPr>
                      </w:pPr>
                      <w:r w:rsidRPr="005D440A">
                        <w:rPr>
                          <w:b/>
                          <w:sz w:val="26"/>
                          <w:szCs w:val="26"/>
                        </w:rPr>
                        <w:t>DỰ THẢO</w:t>
                      </w:r>
                    </w:p>
                    <w:p w14:paraId="68B2BAD6" w14:textId="77777777" w:rsidR="00B212CF" w:rsidRDefault="00B212CF" w:rsidP="00B212CF"/>
                  </w:txbxContent>
                </v:textbox>
              </v:shape>
            </w:pict>
          </mc:Fallback>
        </mc:AlternateContent>
      </w:r>
    </w:p>
    <w:p w14:paraId="759EF6C6" w14:textId="77777777" w:rsidR="00A723E4" w:rsidRDefault="00A723E4" w:rsidP="003367A6">
      <w:pPr>
        <w:jc w:val="center"/>
        <w:rPr>
          <w:b/>
          <w:bCs/>
        </w:rPr>
      </w:pPr>
    </w:p>
    <w:p w14:paraId="3721D309" w14:textId="57410D10" w:rsidR="00B212CF" w:rsidRPr="007E0BCA" w:rsidRDefault="00B212CF" w:rsidP="003367A6">
      <w:pPr>
        <w:jc w:val="center"/>
        <w:rPr>
          <w:b/>
          <w:bCs/>
        </w:rPr>
      </w:pPr>
      <w:r>
        <w:rPr>
          <w:b/>
          <w:bCs/>
        </w:rPr>
        <w:t>NGHỊ QUYẾT</w:t>
      </w:r>
    </w:p>
    <w:p w14:paraId="0DE56F9B" w14:textId="0EA4994E" w:rsidR="00B212CF" w:rsidRPr="008D042D" w:rsidRDefault="004F62EE" w:rsidP="0002020B">
      <w:pPr>
        <w:jc w:val="center"/>
        <w:rPr>
          <w:b/>
        </w:rPr>
      </w:pPr>
      <w:r>
        <w:rPr>
          <w:b/>
        </w:rPr>
        <w:t>Q</w:t>
      </w:r>
      <w:r w:rsidRPr="00B25BA0">
        <w:rPr>
          <w:b/>
          <w:lang w:val="vi-VN"/>
        </w:rPr>
        <w:t xml:space="preserve">uy định </w:t>
      </w:r>
      <w:r w:rsidR="008D042D" w:rsidRPr="008D042D">
        <w:rPr>
          <w:b/>
        </w:rPr>
        <w:t xml:space="preserve">mức chi </w:t>
      </w:r>
      <w:r w:rsidR="0002020B">
        <w:rPr>
          <w:b/>
        </w:rPr>
        <w:t xml:space="preserve">đảm bảo cho việc </w:t>
      </w:r>
      <w:r w:rsidR="008D042D" w:rsidRPr="008D042D">
        <w:rPr>
          <w:b/>
        </w:rPr>
        <w:t xml:space="preserve">tổ chức thực hiện bồi thường, hỗ trợ, tái định cư </w:t>
      </w:r>
      <w:r w:rsidR="00917CBD">
        <w:rPr>
          <w:b/>
        </w:rPr>
        <w:t>khi Nh</w:t>
      </w:r>
      <w:r w:rsidR="00917CBD" w:rsidRPr="00917CBD">
        <w:rPr>
          <w:b/>
        </w:rPr>
        <w:t>à</w:t>
      </w:r>
      <w:r w:rsidR="00917CBD">
        <w:rPr>
          <w:b/>
        </w:rPr>
        <w:t xml:space="preserve"> n</w:t>
      </w:r>
      <w:r w:rsidR="00917CBD" w:rsidRPr="00917CBD">
        <w:rPr>
          <w:b/>
        </w:rPr>
        <w:t>ước</w:t>
      </w:r>
      <w:r w:rsidR="00917CBD">
        <w:rPr>
          <w:b/>
        </w:rPr>
        <w:t xml:space="preserve"> thu h</w:t>
      </w:r>
      <w:r w:rsidR="00917CBD" w:rsidRPr="00917CBD">
        <w:rPr>
          <w:b/>
        </w:rPr>
        <w:t>ồi</w:t>
      </w:r>
      <w:r w:rsidR="00917CBD">
        <w:rPr>
          <w:b/>
        </w:rPr>
        <w:t xml:space="preserve"> </w:t>
      </w:r>
      <w:r w:rsidR="00917CBD" w:rsidRPr="00917CBD">
        <w:rPr>
          <w:b/>
        </w:rPr>
        <w:t>đất</w:t>
      </w:r>
      <w:r w:rsidR="0002020B">
        <w:rPr>
          <w:b/>
        </w:rPr>
        <w:t xml:space="preserve"> </w:t>
      </w:r>
      <w:r w:rsidR="008D042D" w:rsidRPr="008D042D">
        <w:rPr>
          <w:b/>
        </w:rPr>
        <w:t xml:space="preserve">trên địa bàn tỉnh </w:t>
      </w:r>
      <w:r w:rsidR="005A7373">
        <w:rPr>
          <w:b/>
        </w:rPr>
        <w:t>Thanh Hóa</w:t>
      </w:r>
      <w:r w:rsidR="008D042D">
        <w:rPr>
          <w:b/>
        </w:rPr>
        <w:t xml:space="preserve"> </w:t>
      </w:r>
    </w:p>
    <w:p w14:paraId="35F733F9" w14:textId="77777777" w:rsidR="008D042D" w:rsidRDefault="008D042D" w:rsidP="003367A6">
      <w:pPr>
        <w:spacing w:before="120"/>
        <w:ind w:firstLine="720"/>
        <w:jc w:val="center"/>
        <w:rPr>
          <w:b/>
        </w:rPr>
      </w:pPr>
      <w:r>
        <w:rPr>
          <w:b/>
          <w:noProof/>
        </w:rPr>
        <mc:AlternateContent>
          <mc:Choice Requires="wps">
            <w:drawing>
              <wp:anchor distT="0" distB="0" distL="114300" distR="114300" simplePos="0" relativeHeight="251656192" behindDoc="0" locked="0" layoutInCell="1" allowOverlap="1" wp14:anchorId="47D3FC45" wp14:editId="2A81C633">
                <wp:simplePos x="0" y="0"/>
                <wp:positionH relativeFrom="column">
                  <wp:posOffset>2134566</wp:posOffset>
                </wp:positionH>
                <wp:positionV relativeFrom="paragraph">
                  <wp:posOffset>44450</wp:posOffset>
                </wp:positionV>
                <wp:extent cx="1500505"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A712C3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pt,3.5pt" to="28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M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pmk7T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"/>
            </w:pict>
          </mc:Fallback>
        </mc:AlternateContent>
      </w:r>
    </w:p>
    <w:p w14:paraId="6791A6CE" w14:textId="4C089EAF" w:rsidR="00B212CF" w:rsidRPr="007C6AA7" w:rsidRDefault="00B212CF" w:rsidP="00C07294">
      <w:pPr>
        <w:ind w:firstLine="720"/>
        <w:jc w:val="center"/>
        <w:rPr>
          <w:b/>
        </w:rPr>
      </w:pPr>
      <w:r w:rsidRPr="007C6AA7">
        <w:rPr>
          <w:b/>
        </w:rPr>
        <w:t xml:space="preserve">HỘI ĐỒNG NHÂN DÂN TỈNH </w:t>
      </w:r>
      <w:r w:rsidR="005A7373">
        <w:rPr>
          <w:b/>
        </w:rPr>
        <w:t>THANH HÓA</w:t>
      </w:r>
    </w:p>
    <w:p w14:paraId="59B91463" w14:textId="77777777" w:rsidR="007E0BCA" w:rsidRDefault="00443118" w:rsidP="00C07294">
      <w:pPr>
        <w:ind w:firstLine="720"/>
        <w:jc w:val="center"/>
        <w:rPr>
          <w:b/>
        </w:rPr>
      </w:pPr>
      <w:r>
        <w:rPr>
          <w:b/>
        </w:rPr>
        <w:t xml:space="preserve">KHÓA </w:t>
      </w:r>
      <w:r w:rsidR="00F0775F">
        <w:rPr>
          <w:b/>
        </w:rPr>
        <w:t>…</w:t>
      </w:r>
      <w:r w:rsidR="003F40BD">
        <w:rPr>
          <w:b/>
        </w:rPr>
        <w:t>,</w:t>
      </w:r>
      <w:r w:rsidR="00B212CF" w:rsidRPr="007C6AA7">
        <w:rPr>
          <w:b/>
        </w:rPr>
        <w:t xml:space="preserve"> KỲ HỌP THỨ </w:t>
      </w:r>
      <w:r w:rsidR="00F0775F">
        <w:rPr>
          <w:b/>
        </w:rPr>
        <w:t>…</w:t>
      </w:r>
    </w:p>
    <w:p w14:paraId="2C4FF4DB" w14:textId="77777777" w:rsidR="00195D0E" w:rsidRPr="007E0BCA" w:rsidRDefault="00195D0E" w:rsidP="00F92274">
      <w:pPr>
        <w:spacing w:after="120"/>
        <w:ind w:firstLine="720"/>
        <w:jc w:val="center"/>
        <w:rPr>
          <w:b/>
        </w:rPr>
      </w:pPr>
    </w:p>
    <w:p w14:paraId="1C25DA16" w14:textId="0A88C0A6" w:rsidR="004703B0" w:rsidRPr="00883EC6" w:rsidRDefault="004703B0" w:rsidP="00673FD1">
      <w:pPr>
        <w:spacing w:line="360" w:lineRule="exact"/>
        <w:ind w:firstLine="567"/>
        <w:jc w:val="both"/>
        <w:rPr>
          <w:rFonts w:asciiTheme="majorHAnsi" w:hAnsiTheme="majorHAnsi" w:cstheme="majorHAnsi"/>
          <w:i/>
          <w:iCs/>
          <w:lang w:val="vi-VN"/>
        </w:rPr>
      </w:pPr>
      <w:r w:rsidRPr="00883EC6">
        <w:rPr>
          <w:rFonts w:asciiTheme="majorHAnsi" w:hAnsiTheme="majorHAnsi" w:cstheme="majorHAnsi"/>
          <w:i/>
          <w:iCs/>
          <w:lang w:val="vi-VN"/>
        </w:rPr>
        <w:t>Căn cứ Luật Tổ chức chính quyền địa phương ngày 19</w:t>
      </w:r>
      <w:r w:rsidR="00673FD1">
        <w:rPr>
          <w:rFonts w:asciiTheme="majorHAnsi" w:hAnsiTheme="majorHAnsi" w:cstheme="majorHAnsi"/>
          <w:i/>
          <w:iCs/>
          <w:lang w:val="vi-VN"/>
        </w:rPr>
        <w:t>/</w:t>
      </w:r>
      <w:r w:rsidRPr="00883EC6">
        <w:rPr>
          <w:rFonts w:asciiTheme="majorHAnsi" w:hAnsiTheme="majorHAnsi" w:cstheme="majorHAnsi"/>
          <w:i/>
          <w:iCs/>
          <w:lang w:val="vi-VN"/>
        </w:rPr>
        <w:t>6</w:t>
      </w:r>
      <w:r w:rsidR="00673FD1">
        <w:rPr>
          <w:rFonts w:asciiTheme="majorHAnsi" w:hAnsiTheme="majorHAnsi" w:cstheme="majorHAnsi"/>
          <w:i/>
          <w:iCs/>
          <w:lang w:val="vi-VN"/>
        </w:rPr>
        <w:t>/</w:t>
      </w:r>
      <w:r w:rsidRPr="00883EC6">
        <w:rPr>
          <w:rFonts w:asciiTheme="majorHAnsi" w:hAnsiTheme="majorHAnsi" w:cstheme="majorHAnsi"/>
          <w:i/>
          <w:iCs/>
          <w:lang w:val="vi-VN"/>
        </w:rPr>
        <w:t>2015;</w:t>
      </w:r>
      <w:r w:rsidR="00A723E4">
        <w:rPr>
          <w:rFonts w:asciiTheme="majorHAnsi" w:hAnsiTheme="majorHAnsi" w:cstheme="majorHAnsi"/>
          <w:i/>
          <w:iCs/>
        </w:rPr>
        <w:t xml:space="preserve"> </w:t>
      </w:r>
      <w:r w:rsidRPr="00883EC6">
        <w:rPr>
          <w:rFonts w:asciiTheme="majorHAnsi" w:hAnsiTheme="majorHAnsi" w:cstheme="majorHAnsi"/>
          <w:i/>
          <w:iCs/>
          <w:lang w:val="vi-VN"/>
        </w:rPr>
        <w:t>Luật Sửa đổi, bổ sung một số điều của Luật Tổ chức Chính phủ và Luật Tổ chức chính quyền địa phương ngày 22</w:t>
      </w:r>
      <w:r w:rsidR="00673FD1">
        <w:rPr>
          <w:rFonts w:asciiTheme="majorHAnsi" w:hAnsiTheme="majorHAnsi" w:cstheme="majorHAnsi"/>
          <w:i/>
          <w:iCs/>
          <w:lang w:val="vi-VN"/>
        </w:rPr>
        <w:t>/</w:t>
      </w:r>
      <w:r w:rsidRPr="00883EC6">
        <w:rPr>
          <w:rFonts w:asciiTheme="majorHAnsi" w:hAnsiTheme="majorHAnsi" w:cstheme="majorHAnsi"/>
          <w:i/>
          <w:iCs/>
          <w:lang w:val="vi-VN"/>
        </w:rPr>
        <w:t>11</w:t>
      </w:r>
      <w:r w:rsidR="00673FD1">
        <w:rPr>
          <w:rFonts w:asciiTheme="majorHAnsi" w:hAnsiTheme="majorHAnsi" w:cstheme="majorHAnsi"/>
          <w:i/>
          <w:iCs/>
          <w:lang w:val="vi-VN"/>
        </w:rPr>
        <w:t>/</w:t>
      </w:r>
      <w:r w:rsidRPr="00883EC6">
        <w:rPr>
          <w:rFonts w:asciiTheme="majorHAnsi" w:hAnsiTheme="majorHAnsi" w:cstheme="majorHAnsi"/>
          <w:i/>
          <w:iCs/>
          <w:lang w:val="vi-VN"/>
        </w:rPr>
        <w:t>2019;</w:t>
      </w:r>
    </w:p>
    <w:p w14:paraId="0555C842" w14:textId="0783B1C3" w:rsidR="00A723E4" w:rsidRDefault="00A723E4" w:rsidP="00673FD1">
      <w:pPr>
        <w:pStyle w:val="BodyText2"/>
        <w:spacing w:after="0" w:line="360" w:lineRule="exact"/>
        <w:ind w:firstLine="567"/>
        <w:jc w:val="both"/>
        <w:rPr>
          <w:rFonts w:eastAsia="Calibri"/>
          <w:i/>
          <w:lang w:val="vi-VN"/>
        </w:rPr>
      </w:pPr>
      <w:r w:rsidRPr="009260E5">
        <w:rPr>
          <w:rFonts w:eastAsia="Calibri"/>
          <w:i/>
          <w:lang w:val="vi-VN"/>
        </w:rPr>
        <w:t>Căn cứ Luật Ngân sách nhà nước ngày 25</w:t>
      </w:r>
      <w:r w:rsidR="00673FD1">
        <w:rPr>
          <w:rFonts w:eastAsia="Calibri"/>
          <w:i/>
          <w:lang w:val="vi-VN"/>
        </w:rPr>
        <w:t>/</w:t>
      </w:r>
      <w:r w:rsidRPr="009260E5">
        <w:rPr>
          <w:rFonts w:eastAsia="Calibri"/>
          <w:i/>
          <w:lang w:val="vi-VN"/>
        </w:rPr>
        <w:t>6</w:t>
      </w:r>
      <w:r w:rsidR="00673FD1">
        <w:rPr>
          <w:rFonts w:eastAsia="Calibri"/>
          <w:i/>
          <w:lang w:val="vi-VN"/>
        </w:rPr>
        <w:t>/</w:t>
      </w:r>
      <w:r w:rsidRPr="009260E5">
        <w:rPr>
          <w:rFonts w:eastAsia="Calibri"/>
          <w:i/>
          <w:lang w:val="vi-VN"/>
        </w:rPr>
        <w:t>2015;</w:t>
      </w:r>
    </w:p>
    <w:p w14:paraId="43AEF6C5" w14:textId="6A5B64BA" w:rsidR="000C7897" w:rsidRPr="000C7897" w:rsidRDefault="00A723E4" w:rsidP="000C7897">
      <w:pPr>
        <w:shd w:val="clear" w:color="auto" w:fill="FFFFFF"/>
        <w:ind w:firstLine="567"/>
        <w:jc w:val="both"/>
        <w:rPr>
          <w:rFonts w:ascii="Arial" w:hAnsi="Arial" w:cs="Arial"/>
          <w:sz w:val="36"/>
          <w:szCs w:val="36"/>
        </w:rPr>
      </w:pPr>
      <w:r>
        <w:rPr>
          <w:rFonts w:eastAsia="Calibri"/>
          <w:i/>
        </w:rPr>
        <w:t>Căn cứ Luật Đất đai ngày 18</w:t>
      </w:r>
      <w:r w:rsidR="00673FD1">
        <w:rPr>
          <w:rFonts w:eastAsia="Calibri"/>
          <w:i/>
          <w:lang w:val="vi-VN"/>
        </w:rPr>
        <w:t>/</w:t>
      </w:r>
      <w:r>
        <w:rPr>
          <w:rFonts w:eastAsia="Calibri"/>
          <w:i/>
        </w:rPr>
        <w:t>01</w:t>
      </w:r>
      <w:r w:rsidR="00673FD1">
        <w:rPr>
          <w:rFonts w:eastAsia="Calibri"/>
          <w:i/>
          <w:lang w:val="vi-VN"/>
        </w:rPr>
        <w:t>/</w:t>
      </w:r>
      <w:r>
        <w:rPr>
          <w:rFonts w:eastAsia="Calibri"/>
          <w:i/>
        </w:rPr>
        <w:t>2024;</w:t>
      </w:r>
      <w:r w:rsidR="000C7897">
        <w:rPr>
          <w:rFonts w:ascii="Arial" w:hAnsi="Arial" w:cs="Arial"/>
          <w:sz w:val="36"/>
          <w:szCs w:val="36"/>
        </w:rPr>
        <w:t xml:space="preserve"> </w:t>
      </w:r>
      <w:r w:rsidR="000C7897">
        <w:rPr>
          <w:i/>
          <w:iCs/>
        </w:rPr>
        <w:t>Luật sửa đổi, bổ sung một số điều của Luật Đất đai số 31/2024/QH15, Luật Nhà ở số 27/2023/QH15, Luật Kinh doanh bất động sản số 29/2023/QH15, Luật Các tổ chức tín dụng số 32/2024/QH15 ngày 29/6/2024;</w:t>
      </w:r>
    </w:p>
    <w:p w14:paraId="2815F621" w14:textId="2F41F5EA" w:rsidR="00A723E4" w:rsidRPr="009260E5" w:rsidRDefault="00A723E4" w:rsidP="00673FD1">
      <w:pPr>
        <w:pStyle w:val="BodyText2"/>
        <w:spacing w:after="0" w:line="360" w:lineRule="exact"/>
        <w:ind w:firstLine="567"/>
        <w:jc w:val="both"/>
        <w:rPr>
          <w:rFonts w:eastAsia="Calibri"/>
          <w:i/>
          <w:lang w:val="vi-VN"/>
        </w:rPr>
      </w:pPr>
      <w:r w:rsidRPr="009260E5">
        <w:rPr>
          <w:rFonts w:eastAsia="Calibri"/>
          <w:i/>
          <w:lang w:val="vi-VN"/>
        </w:rPr>
        <w:t xml:space="preserve">Căn cứ </w:t>
      </w:r>
      <w:r w:rsidRPr="006A5565">
        <w:rPr>
          <w:rFonts w:eastAsia="Calibri"/>
          <w:i/>
          <w:lang w:val="vi-VN"/>
        </w:rPr>
        <w:t>Nghị định số 88/2024/NĐ-CP ngày 15</w:t>
      </w:r>
      <w:r w:rsidR="00673FD1">
        <w:rPr>
          <w:rFonts w:eastAsia="Calibri"/>
          <w:i/>
          <w:lang w:val="vi-VN"/>
        </w:rPr>
        <w:t>/</w:t>
      </w:r>
      <w:r w:rsidRPr="006A5565">
        <w:rPr>
          <w:rFonts w:eastAsia="Calibri"/>
          <w:i/>
          <w:lang w:val="vi-VN"/>
        </w:rPr>
        <w:t>7</w:t>
      </w:r>
      <w:r w:rsidR="00673FD1">
        <w:rPr>
          <w:rFonts w:eastAsia="Calibri"/>
          <w:i/>
          <w:lang w:val="vi-VN"/>
        </w:rPr>
        <w:t>/</w:t>
      </w:r>
      <w:r w:rsidRPr="006A5565">
        <w:rPr>
          <w:rFonts w:eastAsia="Calibri"/>
          <w:i/>
          <w:lang w:val="vi-VN"/>
        </w:rPr>
        <w:t>2024 của Chính phủ quy định bồi thường, hỗ trợ, tái định cư khi nhà nước thu hồi đất</w:t>
      </w:r>
      <w:r w:rsidRPr="009260E5">
        <w:rPr>
          <w:rFonts w:eastAsia="Calibri"/>
          <w:i/>
          <w:lang w:val="vi-VN"/>
        </w:rPr>
        <w:t>;</w:t>
      </w:r>
    </w:p>
    <w:p w14:paraId="3E3E1D20" w14:textId="4F9502A7" w:rsidR="004703B0" w:rsidRPr="00883EC6" w:rsidRDefault="004703B0" w:rsidP="00673FD1">
      <w:pPr>
        <w:spacing w:line="360" w:lineRule="exact"/>
        <w:ind w:firstLine="567"/>
        <w:jc w:val="both"/>
        <w:rPr>
          <w:rFonts w:asciiTheme="majorHAnsi" w:hAnsiTheme="majorHAnsi" w:cstheme="majorHAnsi"/>
          <w:i/>
          <w:iCs/>
          <w:lang w:val="vi-VN"/>
        </w:rPr>
      </w:pPr>
      <w:r w:rsidRPr="00883EC6">
        <w:rPr>
          <w:rFonts w:asciiTheme="majorHAnsi" w:hAnsiTheme="majorHAnsi" w:cstheme="majorHAnsi"/>
          <w:i/>
          <w:iCs/>
          <w:lang w:val="vi-VN"/>
        </w:rPr>
        <w:t xml:space="preserve">Xét Tờ trình số </w:t>
      </w:r>
      <w:r w:rsidR="00963190">
        <w:rPr>
          <w:rFonts w:asciiTheme="majorHAnsi" w:hAnsiTheme="majorHAnsi" w:cstheme="majorHAnsi"/>
          <w:i/>
          <w:iCs/>
        </w:rPr>
        <w:t xml:space="preserve">     </w:t>
      </w:r>
      <w:r w:rsidRPr="00883EC6">
        <w:rPr>
          <w:rFonts w:asciiTheme="majorHAnsi" w:hAnsiTheme="majorHAnsi" w:cstheme="majorHAnsi"/>
          <w:i/>
          <w:iCs/>
          <w:lang w:val="vi-VN"/>
        </w:rPr>
        <w:t>/TTr-UBND ngày</w:t>
      </w:r>
      <w:r w:rsidR="00A723E4">
        <w:rPr>
          <w:rFonts w:asciiTheme="majorHAnsi" w:hAnsiTheme="majorHAnsi" w:cstheme="majorHAnsi"/>
          <w:i/>
          <w:iCs/>
        </w:rPr>
        <w:t xml:space="preserve">     /     /</w:t>
      </w:r>
      <w:r w:rsidRPr="00883EC6">
        <w:rPr>
          <w:rFonts w:asciiTheme="majorHAnsi" w:hAnsiTheme="majorHAnsi" w:cstheme="majorHAnsi"/>
          <w:i/>
          <w:iCs/>
          <w:lang w:val="vi-VN"/>
        </w:rPr>
        <w:t>202</w:t>
      </w:r>
      <w:r w:rsidR="00A723E4">
        <w:rPr>
          <w:rFonts w:asciiTheme="majorHAnsi" w:hAnsiTheme="majorHAnsi" w:cstheme="majorHAnsi"/>
          <w:i/>
          <w:iCs/>
        </w:rPr>
        <w:t>4</w:t>
      </w:r>
      <w:r w:rsidRPr="00883EC6">
        <w:rPr>
          <w:rFonts w:asciiTheme="majorHAnsi" w:hAnsiTheme="majorHAnsi" w:cstheme="majorHAnsi"/>
          <w:i/>
          <w:iCs/>
          <w:lang w:val="vi-VN"/>
        </w:rPr>
        <w:t xml:space="preserve"> của Ủy ban nhân dân tỉnh đề nghị ban hành Nghị quyết </w:t>
      </w:r>
      <w:r w:rsidR="00A723E4">
        <w:rPr>
          <w:rFonts w:asciiTheme="majorHAnsi" w:hAnsiTheme="majorHAnsi" w:cstheme="majorHAnsi"/>
          <w:i/>
          <w:iCs/>
        </w:rPr>
        <w:t>q</w:t>
      </w:r>
      <w:r w:rsidRPr="00883EC6">
        <w:rPr>
          <w:rFonts w:asciiTheme="majorHAnsi" w:hAnsiTheme="majorHAnsi" w:cstheme="majorHAnsi"/>
          <w:i/>
          <w:iCs/>
          <w:lang w:val="vi-VN"/>
        </w:rPr>
        <w:t xml:space="preserve">uy định mức chi </w:t>
      </w:r>
      <w:r w:rsidR="00963190">
        <w:rPr>
          <w:rFonts w:asciiTheme="majorHAnsi" w:hAnsiTheme="majorHAnsi" w:cstheme="majorHAnsi"/>
          <w:i/>
          <w:iCs/>
        </w:rPr>
        <w:t xml:space="preserve">đảm bảo cho việc </w:t>
      </w:r>
      <w:r w:rsidRPr="00883EC6">
        <w:rPr>
          <w:rFonts w:asciiTheme="majorHAnsi" w:hAnsiTheme="majorHAnsi" w:cstheme="majorHAnsi"/>
          <w:i/>
          <w:iCs/>
          <w:lang w:val="vi-VN"/>
        </w:rPr>
        <w:t xml:space="preserve">tổ chức thực hiện bồi thường, hỗ trợ, tái định cư </w:t>
      </w:r>
      <w:r w:rsidR="00963190">
        <w:rPr>
          <w:rFonts w:asciiTheme="majorHAnsi" w:hAnsiTheme="majorHAnsi" w:cstheme="majorHAnsi"/>
          <w:i/>
          <w:iCs/>
        </w:rPr>
        <w:t>khi Nhà nước</w:t>
      </w:r>
      <w:r w:rsidRPr="00883EC6">
        <w:rPr>
          <w:rFonts w:asciiTheme="majorHAnsi" w:hAnsiTheme="majorHAnsi" w:cstheme="majorHAnsi"/>
          <w:i/>
          <w:iCs/>
          <w:lang w:val="vi-VN"/>
        </w:rPr>
        <w:t xml:space="preserve"> thu hồi đất trên địa bàn tỉnh </w:t>
      </w:r>
      <w:r w:rsidR="005A7373">
        <w:rPr>
          <w:rFonts w:asciiTheme="majorHAnsi" w:hAnsiTheme="majorHAnsi" w:cstheme="majorHAnsi"/>
          <w:i/>
          <w:iCs/>
        </w:rPr>
        <w:t>Thanh Hóa</w:t>
      </w:r>
      <w:r w:rsidRPr="00883EC6">
        <w:rPr>
          <w:rFonts w:asciiTheme="majorHAnsi" w:hAnsiTheme="majorHAnsi" w:cstheme="majorHAnsi"/>
          <w:i/>
          <w:iCs/>
          <w:lang w:val="vi-VN"/>
        </w:rPr>
        <w:t>; Báo cáo thẩm tra của Ban</w:t>
      </w:r>
      <w:r w:rsidR="00A723E4">
        <w:rPr>
          <w:rFonts w:asciiTheme="majorHAnsi" w:hAnsiTheme="majorHAnsi" w:cstheme="majorHAnsi"/>
          <w:i/>
          <w:iCs/>
        </w:rPr>
        <w:t xml:space="preserve"> Kinh tế - Ngân sách</w:t>
      </w:r>
      <w:r w:rsidRPr="00883EC6">
        <w:rPr>
          <w:rFonts w:asciiTheme="majorHAnsi" w:hAnsiTheme="majorHAnsi" w:cstheme="majorHAnsi"/>
          <w:i/>
          <w:iCs/>
          <w:lang w:val="vi-VN"/>
        </w:rPr>
        <w:t xml:space="preserve"> của Hội đồng nhân dân tỉnh</w:t>
      </w:r>
      <w:r w:rsidRPr="00883EC6">
        <w:rPr>
          <w:rFonts w:asciiTheme="majorHAnsi" w:hAnsiTheme="majorHAnsi" w:cstheme="majorHAnsi"/>
          <w:i/>
          <w:iCs/>
        </w:rPr>
        <w:t xml:space="preserve"> và</w:t>
      </w:r>
      <w:r w:rsidRPr="00883EC6">
        <w:rPr>
          <w:rFonts w:asciiTheme="majorHAnsi" w:hAnsiTheme="majorHAnsi" w:cstheme="majorHAnsi"/>
          <w:i/>
          <w:iCs/>
          <w:lang w:val="vi-VN"/>
        </w:rPr>
        <w:t xml:space="preserve"> ý kiến thảo luận của đại biểu Hội đồng nhân dân tỉnh tại kỳ họp.</w:t>
      </w:r>
    </w:p>
    <w:p w14:paraId="48108E39" w14:textId="77777777" w:rsidR="0033293D" w:rsidRDefault="0033293D" w:rsidP="00C07294">
      <w:pPr>
        <w:spacing w:after="120"/>
        <w:jc w:val="center"/>
        <w:rPr>
          <w:rFonts w:asciiTheme="majorHAnsi" w:hAnsiTheme="majorHAnsi" w:cstheme="majorHAnsi"/>
          <w:b/>
          <w:bCs/>
          <w:lang w:val="nl-NL"/>
        </w:rPr>
      </w:pPr>
    </w:p>
    <w:p w14:paraId="6FF01FC7" w14:textId="2F436899" w:rsidR="00B212CF" w:rsidRDefault="00B212CF" w:rsidP="00C07294">
      <w:pPr>
        <w:spacing w:after="120"/>
        <w:jc w:val="center"/>
        <w:rPr>
          <w:rFonts w:asciiTheme="majorHAnsi" w:hAnsiTheme="majorHAnsi" w:cstheme="majorHAnsi"/>
          <w:b/>
          <w:bCs/>
          <w:lang w:val="vi-VN"/>
        </w:rPr>
      </w:pPr>
      <w:r w:rsidRPr="00883EC6">
        <w:rPr>
          <w:rFonts w:asciiTheme="majorHAnsi" w:hAnsiTheme="majorHAnsi" w:cstheme="majorHAnsi"/>
          <w:b/>
          <w:bCs/>
          <w:lang w:val="nl-NL"/>
        </w:rPr>
        <w:t>QUYẾT NGHỊ:</w:t>
      </w:r>
    </w:p>
    <w:p w14:paraId="2E9185CD" w14:textId="77777777" w:rsidR="00673FD1" w:rsidRPr="00673FD1" w:rsidRDefault="00673FD1" w:rsidP="00C07294">
      <w:pPr>
        <w:spacing w:after="120"/>
        <w:jc w:val="center"/>
        <w:rPr>
          <w:rFonts w:asciiTheme="majorHAnsi" w:hAnsiTheme="majorHAnsi" w:cstheme="majorHAnsi"/>
          <w:b/>
          <w:bCs/>
          <w:lang w:val="vi-VN"/>
        </w:rPr>
      </w:pPr>
    </w:p>
    <w:p w14:paraId="69FFF63F" w14:textId="77777777" w:rsidR="00BE33BA" w:rsidRPr="0033293D" w:rsidRDefault="00BE33BA" w:rsidP="00CC0124">
      <w:pPr>
        <w:shd w:val="clear" w:color="auto" w:fill="FFFFFF"/>
        <w:spacing w:line="360" w:lineRule="exact"/>
        <w:ind w:firstLine="567"/>
        <w:jc w:val="both"/>
        <w:rPr>
          <w:rFonts w:asciiTheme="majorHAnsi" w:hAnsiTheme="majorHAnsi" w:cstheme="majorHAnsi"/>
          <w:color w:val="000000"/>
        </w:rPr>
      </w:pPr>
      <w:bookmarkStart w:id="1" w:name="dieu_1"/>
      <w:bookmarkStart w:id="2" w:name="dieu_3"/>
      <w:r w:rsidRPr="0033293D">
        <w:rPr>
          <w:rFonts w:asciiTheme="majorHAnsi" w:hAnsiTheme="majorHAnsi" w:cstheme="majorHAnsi"/>
          <w:b/>
          <w:bCs/>
          <w:color w:val="000000"/>
        </w:rPr>
        <w:t>Điều 1. Phạm vi điều chỉnh</w:t>
      </w:r>
      <w:bookmarkEnd w:id="1"/>
    </w:p>
    <w:p w14:paraId="1B96D0E4" w14:textId="4C52E5F3" w:rsidR="00BE33BA" w:rsidRPr="0033293D" w:rsidRDefault="00BE33BA" w:rsidP="00CC0124">
      <w:pPr>
        <w:shd w:val="clear" w:color="auto" w:fill="FFFFFF"/>
        <w:spacing w:line="360" w:lineRule="exact"/>
        <w:ind w:firstLine="567"/>
        <w:jc w:val="both"/>
        <w:rPr>
          <w:rFonts w:asciiTheme="majorHAnsi" w:hAnsiTheme="majorHAnsi" w:cstheme="majorHAnsi"/>
          <w:color w:val="000000"/>
        </w:rPr>
      </w:pPr>
      <w:r w:rsidRPr="0033293D">
        <w:rPr>
          <w:rFonts w:asciiTheme="majorHAnsi" w:hAnsiTheme="majorHAnsi" w:cstheme="majorHAnsi"/>
          <w:color w:val="000000"/>
        </w:rPr>
        <w:t>Nghị quyết này quy định mức chi</w:t>
      </w:r>
      <w:r w:rsidR="0073412C">
        <w:rPr>
          <w:rFonts w:asciiTheme="majorHAnsi" w:hAnsiTheme="majorHAnsi" w:cstheme="majorHAnsi"/>
          <w:color w:val="000000"/>
        </w:rPr>
        <w:t xml:space="preserve"> đảm bảo cho việc</w:t>
      </w:r>
      <w:r w:rsidRPr="0033293D">
        <w:rPr>
          <w:rFonts w:asciiTheme="majorHAnsi" w:hAnsiTheme="majorHAnsi" w:cstheme="majorHAnsi"/>
          <w:color w:val="000000"/>
        </w:rPr>
        <w:t xml:space="preserve"> tổ chức thực hiện bồi thường, hỗ trợ, tái định cư khi Nhà nước thu hồi đất trên địa bàn tỉnh </w:t>
      </w:r>
      <w:r w:rsidR="00A02FF9">
        <w:rPr>
          <w:rFonts w:asciiTheme="majorHAnsi" w:hAnsiTheme="majorHAnsi" w:cstheme="majorHAnsi"/>
          <w:color w:val="000000"/>
        </w:rPr>
        <w:t>Thanh Hóa</w:t>
      </w:r>
      <w:r w:rsidRPr="0033293D">
        <w:rPr>
          <w:rFonts w:asciiTheme="majorHAnsi" w:hAnsiTheme="majorHAnsi" w:cstheme="majorHAnsi"/>
          <w:color w:val="000000"/>
        </w:rPr>
        <w:t>.</w:t>
      </w:r>
    </w:p>
    <w:p w14:paraId="03D873ED" w14:textId="77777777" w:rsidR="00BE33BA" w:rsidRPr="0033293D" w:rsidRDefault="00BE33BA" w:rsidP="00CC0124">
      <w:pPr>
        <w:shd w:val="clear" w:color="auto" w:fill="FFFFFF"/>
        <w:spacing w:line="360" w:lineRule="exact"/>
        <w:ind w:firstLine="567"/>
        <w:jc w:val="both"/>
        <w:rPr>
          <w:rFonts w:asciiTheme="majorHAnsi" w:hAnsiTheme="majorHAnsi" w:cstheme="majorHAnsi"/>
          <w:color w:val="000000"/>
        </w:rPr>
      </w:pPr>
      <w:bookmarkStart w:id="3" w:name="dieu_2"/>
      <w:r w:rsidRPr="0033293D">
        <w:rPr>
          <w:rFonts w:asciiTheme="majorHAnsi" w:hAnsiTheme="majorHAnsi" w:cstheme="majorHAnsi"/>
          <w:b/>
          <w:bCs/>
          <w:color w:val="000000"/>
        </w:rPr>
        <w:t>Điều 2. Đối tượng áp dụng</w:t>
      </w:r>
      <w:bookmarkEnd w:id="3"/>
    </w:p>
    <w:p w14:paraId="21E40E4F" w14:textId="6771A1BA" w:rsidR="00BE33BA" w:rsidRPr="0033293D" w:rsidRDefault="00BE33BA" w:rsidP="00CC0124">
      <w:pPr>
        <w:shd w:val="clear" w:color="auto" w:fill="FFFFFF"/>
        <w:spacing w:line="360" w:lineRule="exact"/>
        <w:ind w:firstLine="567"/>
        <w:jc w:val="both"/>
        <w:rPr>
          <w:rFonts w:asciiTheme="majorHAnsi" w:hAnsiTheme="majorHAnsi" w:cstheme="majorHAnsi"/>
          <w:color w:val="000000"/>
        </w:rPr>
      </w:pPr>
      <w:r w:rsidRPr="0033293D">
        <w:rPr>
          <w:rFonts w:asciiTheme="majorHAnsi" w:hAnsiTheme="majorHAnsi" w:cstheme="majorHAnsi"/>
          <w:color w:val="000000"/>
        </w:rPr>
        <w:t xml:space="preserve">1. </w:t>
      </w:r>
      <w:r w:rsidR="00A723E4" w:rsidRPr="0033293D">
        <w:rPr>
          <w:rFonts w:asciiTheme="majorHAnsi" w:hAnsiTheme="majorHAnsi" w:cstheme="majorHAnsi"/>
          <w:color w:val="000000"/>
        </w:rPr>
        <w:t>Đơn vị, tổ chức</w:t>
      </w:r>
      <w:r w:rsidRPr="0033293D">
        <w:rPr>
          <w:rFonts w:asciiTheme="majorHAnsi" w:hAnsiTheme="majorHAnsi" w:cstheme="majorHAnsi"/>
          <w:color w:val="000000"/>
        </w:rPr>
        <w:t xml:space="preserve"> thực hiện nhiệm vụ bồi thường, hỗ trợ, tái định cư khi Nhà nước thu hồi đất theo quy định của pháp luật</w:t>
      </w:r>
      <w:r w:rsidR="003669D0" w:rsidRPr="0033293D">
        <w:rPr>
          <w:rFonts w:asciiTheme="majorHAnsi" w:hAnsiTheme="majorHAnsi" w:cstheme="majorHAnsi"/>
          <w:color w:val="000000"/>
        </w:rPr>
        <w:t>.</w:t>
      </w:r>
    </w:p>
    <w:p w14:paraId="4505C3EA" w14:textId="5F5D91EE" w:rsidR="00BE33BA" w:rsidRPr="0033293D" w:rsidRDefault="00BE33BA" w:rsidP="00CC0124">
      <w:pPr>
        <w:shd w:val="clear" w:color="auto" w:fill="FFFFFF"/>
        <w:spacing w:line="360" w:lineRule="exact"/>
        <w:ind w:firstLine="567"/>
        <w:jc w:val="both"/>
        <w:rPr>
          <w:rFonts w:asciiTheme="majorHAnsi" w:hAnsiTheme="majorHAnsi" w:cstheme="majorHAnsi"/>
          <w:color w:val="000000"/>
        </w:rPr>
      </w:pPr>
      <w:r w:rsidRPr="0033293D">
        <w:rPr>
          <w:rFonts w:asciiTheme="majorHAnsi" w:hAnsiTheme="majorHAnsi" w:cstheme="majorHAnsi"/>
          <w:color w:val="000000"/>
        </w:rPr>
        <w:lastRenderedPageBreak/>
        <w:t xml:space="preserve">2. Các cơ quan, tổ chức, cá nhân có liên quan tới việc lập, </w:t>
      </w:r>
      <w:r w:rsidR="00A723E4" w:rsidRPr="0033293D">
        <w:rPr>
          <w:rFonts w:asciiTheme="majorHAnsi" w:hAnsiTheme="majorHAnsi" w:cstheme="majorHAnsi"/>
          <w:color w:val="000000"/>
        </w:rPr>
        <w:t xml:space="preserve">phê duyệt dự toán, </w:t>
      </w:r>
      <w:r w:rsidRPr="0033293D">
        <w:rPr>
          <w:rFonts w:asciiTheme="majorHAnsi" w:hAnsiTheme="majorHAnsi" w:cstheme="majorHAnsi"/>
          <w:color w:val="000000"/>
        </w:rPr>
        <w:t xml:space="preserve">sử dụng và thanh quyết toán </w:t>
      </w:r>
      <w:r w:rsidR="00A723E4" w:rsidRPr="0033293D">
        <w:rPr>
          <w:rFonts w:asciiTheme="majorHAnsi" w:hAnsiTheme="majorHAnsi" w:cstheme="majorHAnsi"/>
          <w:color w:val="000000"/>
        </w:rPr>
        <w:t>chi phí đảm bảo cho việc</w:t>
      </w:r>
      <w:r w:rsidRPr="0033293D">
        <w:rPr>
          <w:rFonts w:asciiTheme="majorHAnsi" w:hAnsiTheme="majorHAnsi" w:cstheme="majorHAnsi"/>
          <w:color w:val="000000"/>
        </w:rPr>
        <w:t xml:space="preserve"> tổ chức thực hiện bồi thường, hỗ trợ, tái định cư khi Nhà nước thu hồi đất.</w:t>
      </w:r>
    </w:p>
    <w:p w14:paraId="0939D256" w14:textId="120B32C6" w:rsidR="00BE33BA" w:rsidRDefault="00BE33BA" w:rsidP="00CC0124">
      <w:pPr>
        <w:shd w:val="clear" w:color="auto" w:fill="FFFFFF"/>
        <w:spacing w:line="360" w:lineRule="exact"/>
        <w:ind w:firstLine="567"/>
        <w:jc w:val="both"/>
        <w:rPr>
          <w:rFonts w:asciiTheme="majorHAnsi" w:hAnsiTheme="majorHAnsi" w:cstheme="majorHAnsi"/>
          <w:b/>
          <w:bCs/>
          <w:color w:val="000000"/>
        </w:rPr>
      </w:pPr>
      <w:r w:rsidRPr="0033293D">
        <w:rPr>
          <w:rFonts w:asciiTheme="majorHAnsi" w:hAnsiTheme="majorHAnsi" w:cstheme="majorHAnsi"/>
          <w:b/>
          <w:bCs/>
          <w:color w:val="000000"/>
        </w:rPr>
        <w:t>Điề</w:t>
      </w:r>
      <w:r w:rsidR="00883EC6" w:rsidRPr="0033293D">
        <w:rPr>
          <w:rFonts w:asciiTheme="majorHAnsi" w:hAnsiTheme="majorHAnsi" w:cstheme="majorHAnsi"/>
          <w:b/>
          <w:bCs/>
          <w:color w:val="000000"/>
        </w:rPr>
        <w:t>u 3</w:t>
      </w:r>
      <w:r w:rsidRPr="0033293D">
        <w:rPr>
          <w:rFonts w:asciiTheme="majorHAnsi" w:hAnsiTheme="majorHAnsi" w:cstheme="majorHAnsi"/>
          <w:b/>
          <w:bCs/>
          <w:color w:val="000000"/>
        </w:rPr>
        <w:t xml:space="preserve">. Mức chi </w:t>
      </w:r>
      <w:r w:rsidR="00B80D2D">
        <w:rPr>
          <w:rFonts w:asciiTheme="majorHAnsi" w:hAnsiTheme="majorHAnsi" w:cstheme="majorHAnsi"/>
          <w:b/>
          <w:bCs/>
          <w:color w:val="000000"/>
        </w:rPr>
        <w:t xml:space="preserve">đảm bảo cho việc </w:t>
      </w:r>
      <w:r w:rsidRPr="0033293D">
        <w:rPr>
          <w:rFonts w:asciiTheme="majorHAnsi" w:hAnsiTheme="majorHAnsi" w:cstheme="majorHAnsi"/>
          <w:b/>
          <w:bCs/>
          <w:color w:val="000000"/>
        </w:rPr>
        <w:t>tổ chức thực hiện bồi thường, hỗ trợ, tái định cư</w:t>
      </w:r>
      <w:r w:rsidR="00CB09A5" w:rsidRPr="0033293D">
        <w:rPr>
          <w:rFonts w:asciiTheme="majorHAnsi" w:hAnsiTheme="majorHAnsi" w:cstheme="majorHAnsi"/>
          <w:b/>
          <w:bCs/>
          <w:color w:val="000000"/>
        </w:rPr>
        <w:t xml:space="preserve"> </w:t>
      </w:r>
    </w:p>
    <w:p w14:paraId="33067179" w14:textId="78E7F25A" w:rsidR="009955DD" w:rsidRDefault="009955DD" w:rsidP="00CC0124">
      <w:pPr>
        <w:shd w:val="clear" w:color="auto" w:fill="FFFFFF"/>
        <w:spacing w:line="360" w:lineRule="exact"/>
        <w:ind w:firstLine="567"/>
        <w:jc w:val="both"/>
      </w:pPr>
      <w:r>
        <w:t xml:space="preserve">1.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w:t>
      </w:r>
      <w:r w:rsidRPr="0033293D">
        <w:rPr>
          <w:rFonts w:asciiTheme="majorHAnsi" w:hAnsiTheme="majorHAnsi" w:cstheme="majorHAnsi"/>
          <w:color w:val="000000"/>
        </w:rPr>
        <w:t>200.000 đồng/người/ngày</w:t>
      </w:r>
      <w:r>
        <w:t xml:space="preserve">. </w:t>
      </w:r>
    </w:p>
    <w:p w14:paraId="774AA890" w14:textId="52AA9DAF" w:rsidR="009955DD" w:rsidRDefault="009955DD" w:rsidP="00CC0124">
      <w:pPr>
        <w:shd w:val="clear" w:color="auto" w:fill="FFFFFF"/>
        <w:spacing w:line="360" w:lineRule="exact"/>
        <w:ind w:firstLine="567"/>
        <w:jc w:val="both"/>
      </w:pPr>
      <w:r>
        <w:t xml:space="preserve">2. Chi điều tra, khảo sát, ghi nhận hiện trạng, đo đạc, kiểm đếm, thống kê, phân loại diện tích đất và xác định nguồn gốc đất và tài sản gắn liền với đất thu hồi gồm: Phát tờ khai, hướng dẫn người có đất, chủ sở hữu tài sản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chi phí đăng báo và phát sóng trên đài phát thanh hoặc truyền hình: </w:t>
      </w:r>
      <w:r w:rsidRPr="0033293D">
        <w:rPr>
          <w:rFonts w:asciiTheme="majorHAnsi" w:hAnsiTheme="majorHAnsi" w:cstheme="majorHAnsi"/>
          <w:color w:val="000000"/>
        </w:rPr>
        <w:t>200.000 đồng/người/ngày</w:t>
      </w:r>
      <w:r>
        <w:t xml:space="preserve">. </w:t>
      </w:r>
    </w:p>
    <w:p w14:paraId="77EF4271" w14:textId="4097ED07" w:rsidR="009955DD" w:rsidRDefault="009955DD" w:rsidP="00CC0124">
      <w:pPr>
        <w:shd w:val="clear" w:color="auto" w:fill="FFFFFF"/>
        <w:spacing w:line="360" w:lineRule="exact"/>
        <w:ind w:firstLine="567"/>
        <w:jc w:val="both"/>
      </w:pPr>
      <w:r>
        <w:t xml:space="preserve">3.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w:t>
      </w:r>
      <w:r w:rsidRPr="0033293D">
        <w:rPr>
          <w:rFonts w:asciiTheme="majorHAnsi" w:hAnsiTheme="majorHAnsi" w:cstheme="majorHAnsi"/>
          <w:color w:val="000000"/>
        </w:rPr>
        <w:t>200.000 đồng/người/ngày</w:t>
      </w:r>
      <w:r>
        <w:t xml:space="preserve">. </w:t>
      </w:r>
    </w:p>
    <w:p w14:paraId="4D1FCCF7" w14:textId="3013F83B" w:rsidR="009955DD" w:rsidRDefault="009955DD" w:rsidP="00CC0124">
      <w:pPr>
        <w:shd w:val="clear" w:color="auto" w:fill="FFFFFF"/>
        <w:spacing w:line="360" w:lineRule="exact"/>
        <w:ind w:firstLine="567"/>
        <w:jc w:val="both"/>
      </w:pPr>
      <w:r>
        <w:t xml:space="preserve">4. Chi tổ chức chi trả tiền bồi thường, hỗ trợ, tái định cư theo phương án bồi thường, hỗ trợ, tái định cư đã được cơ quan nhà nước có thẩm quyền phê duyệt theo quy định: </w:t>
      </w:r>
      <w:r w:rsidRPr="0033293D">
        <w:rPr>
          <w:rFonts w:asciiTheme="majorHAnsi" w:hAnsiTheme="majorHAnsi" w:cstheme="majorHAnsi"/>
          <w:color w:val="000000"/>
        </w:rPr>
        <w:t>200.000 đồng/người/ngày</w:t>
      </w:r>
      <w:r>
        <w:t xml:space="preserve">. </w:t>
      </w:r>
    </w:p>
    <w:p w14:paraId="745463A5" w14:textId="0E06062E" w:rsidR="009955DD" w:rsidRDefault="009955DD" w:rsidP="00CC0124">
      <w:pPr>
        <w:shd w:val="clear" w:color="auto" w:fill="FFFFFF"/>
        <w:spacing w:line="360" w:lineRule="exact"/>
        <w:ind w:firstLine="567"/>
        <w:jc w:val="both"/>
      </w:pPr>
      <w:r>
        <w:t xml:space="preserve">5. Chi phục vụ việc hướng dẫn thực hiện, giải quyết những vướng mắc trong tổ chức thực hiện phương án bồi thường, hỗ trợ, tái định cư đã được cơ quan nhà nước có thẩm quyền phê duyệt theo quy định: </w:t>
      </w:r>
      <w:r w:rsidRPr="0033293D">
        <w:rPr>
          <w:rFonts w:asciiTheme="majorHAnsi" w:hAnsiTheme="majorHAnsi" w:cstheme="majorHAnsi"/>
          <w:color w:val="000000"/>
        </w:rPr>
        <w:t>200.000 đồng/người/ngày</w:t>
      </w:r>
      <w:r>
        <w:t xml:space="preserve">. </w:t>
      </w:r>
    </w:p>
    <w:p w14:paraId="7513010A" w14:textId="38FEE0BF" w:rsidR="009955DD" w:rsidRDefault="00D61ACD" w:rsidP="00CC0124">
      <w:pPr>
        <w:shd w:val="clear" w:color="auto" w:fill="FFFFFF"/>
        <w:spacing w:line="360" w:lineRule="exact"/>
        <w:ind w:firstLine="567"/>
        <w:jc w:val="both"/>
      </w:pPr>
      <w:r>
        <w:t>6</w:t>
      </w:r>
      <w:r w:rsidR="009955DD">
        <w:t xml:space="preserve">.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w:t>
      </w:r>
      <w:r w:rsidR="009955DD">
        <w:lastRenderedPageBreak/>
        <w:t>thường, hỗ trợ, tái định cư không có đủ nhân sự để thực hiện và không được thực hiện nhiệm vụ trùng lắp với nhân sự của đơn vị, tổ chức thực hiện nhiệm vụ bồi thường, hỗ trợ, tái định cư</w:t>
      </w:r>
      <w:r w:rsidR="00933163">
        <w:t xml:space="preserve">: </w:t>
      </w:r>
      <w:r w:rsidR="00933163">
        <w:rPr>
          <w:rFonts w:asciiTheme="majorHAnsi" w:hAnsiTheme="majorHAnsi" w:cstheme="majorHAnsi"/>
          <w:color w:val="000000"/>
        </w:rPr>
        <w:t>3</w:t>
      </w:r>
      <w:r w:rsidR="00933163" w:rsidRPr="0033293D">
        <w:rPr>
          <w:rFonts w:asciiTheme="majorHAnsi" w:hAnsiTheme="majorHAnsi" w:cstheme="majorHAnsi"/>
          <w:color w:val="000000"/>
        </w:rPr>
        <w:t>00.000 đồng/người/ngày</w:t>
      </w:r>
      <w:r w:rsidR="009955DD">
        <w:t xml:space="preserve">. </w:t>
      </w:r>
    </w:p>
    <w:p w14:paraId="01A9461C" w14:textId="61499351" w:rsidR="009955DD" w:rsidRDefault="00D61ACD" w:rsidP="00CC0124">
      <w:pPr>
        <w:shd w:val="clear" w:color="auto" w:fill="FFFFFF"/>
        <w:spacing w:line="360" w:lineRule="exact"/>
        <w:ind w:firstLine="567"/>
        <w:jc w:val="both"/>
      </w:pPr>
      <w:r>
        <w:t>7</w:t>
      </w:r>
      <w:r w:rsidR="009955DD">
        <w:t>. Các nội dung chi khác có liên quan trực tiếp đến việc tổ chức thực hiện bồi thường, hỗ trợ, tái định cư</w:t>
      </w:r>
      <w:r w:rsidR="009955DD" w:rsidRPr="009955DD">
        <w:rPr>
          <w:rFonts w:asciiTheme="majorHAnsi" w:hAnsiTheme="majorHAnsi" w:cstheme="majorHAnsi"/>
          <w:spacing w:val="-4"/>
        </w:rPr>
        <w:t xml:space="preserve"> </w:t>
      </w:r>
      <w:r w:rsidR="009955DD" w:rsidRPr="0033293D">
        <w:rPr>
          <w:rFonts w:asciiTheme="majorHAnsi" w:hAnsiTheme="majorHAnsi" w:cstheme="majorHAnsi"/>
          <w:spacing w:val="-4"/>
        </w:rPr>
        <w:t>chưa có định mức, tiêu chuẩn, đơn giá do cơ quan nhà nước có thẩm quyền quy định: Thực hiện theo mức chi thực tế, đảm bảo tiết kiệm, hiệu quả, có hóa đơn chứng từ hợp pháp</w:t>
      </w:r>
      <w:r w:rsidR="009955DD">
        <w:t xml:space="preserve">. </w:t>
      </w:r>
    </w:p>
    <w:p w14:paraId="2ED402E6" w14:textId="627F835D" w:rsidR="00896D4D" w:rsidRPr="00AB17D8" w:rsidRDefault="00D61ACD" w:rsidP="00CC0124">
      <w:pPr>
        <w:shd w:val="clear" w:color="auto" w:fill="FFFFFF"/>
        <w:spacing w:line="360" w:lineRule="exact"/>
        <w:ind w:firstLine="567"/>
        <w:jc w:val="both"/>
        <w:rPr>
          <w:rFonts w:asciiTheme="majorHAnsi" w:hAnsiTheme="majorHAnsi" w:cstheme="majorHAnsi"/>
          <w:spacing w:val="-4"/>
          <w:lang w:val="vi-VN"/>
        </w:rPr>
      </w:pPr>
      <w:r>
        <w:rPr>
          <w:rFonts w:asciiTheme="majorHAnsi" w:hAnsiTheme="majorHAnsi" w:cstheme="majorHAnsi"/>
          <w:spacing w:val="-4"/>
        </w:rPr>
        <w:t>8</w:t>
      </w:r>
      <w:r w:rsidR="009955DD">
        <w:rPr>
          <w:rFonts w:asciiTheme="majorHAnsi" w:hAnsiTheme="majorHAnsi" w:cstheme="majorHAnsi"/>
          <w:spacing w:val="-4"/>
        </w:rPr>
        <w:t>.</w:t>
      </w:r>
      <w:r w:rsidR="00896D4D" w:rsidRPr="0033293D">
        <w:rPr>
          <w:rFonts w:asciiTheme="majorHAnsi" w:hAnsiTheme="majorHAnsi" w:cstheme="majorHAnsi"/>
          <w:spacing w:val="-4"/>
        </w:rPr>
        <w:t xml:space="preserve"> </w:t>
      </w:r>
      <w:r w:rsidR="00896D4D" w:rsidRPr="0033293D">
        <w:rPr>
          <w:rFonts w:asciiTheme="majorHAnsi" w:hAnsiTheme="majorHAnsi" w:cstheme="majorHAnsi"/>
          <w:color w:val="000000"/>
          <w:shd w:val="clear" w:color="auto" w:fill="FFFFFF"/>
        </w:rPr>
        <w:t>Tổng mức chi cho việc tổ chức thực hiện bồi thường, hỗ trợ, tái định cư (chưa bao gồm kinh phí đảm bảo cho việc tổ chức thực hiện cưỡng chế kiểm đếm, cưỡng chế thu hồi đất</w:t>
      </w:r>
      <w:r w:rsidR="00C73CFF" w:rsidRPr="0033293D">
        <w:rPr>
          <w:rFonts w:asciiTheme="majorHAnsi" w:hAnsiTheme="majorHAnsi" w:cstheme="majorHAnsi"/>
          <w:color w:val="000000"/>
          <w:shd w:val="clear" w:color="auto" w:fill="FFFFFF"/>
        </w:rPr>
        <w:t xml:space="preserve">) </w:t>
      </w:r>
      <w:r w:rsidR="009E60A3">
        <w:rPr>
          <w:rFonts w:asciiTheme="majorHAnsi" w:hAnsiTheme="majorHAnsi" w:cstheme="majorHAnsi"/>
          <w:color w:val="000000"/>
          <w:shd w:val="clear" w:color="auto" w:fill="FFFFFF"/>
        </w:rPr>
        <w:t xml:space="preserve">tối thiểu là 10.000.000 đồng/dự án, tiểu dự án và </w:t>
      </w:r>
      <w:r w:rsidR="00896D4D" w:rsidRPr="0033293D">
        <w:rPr>
          <w:rFonts w:asciiTheme="majorHAnsi" w:hAnsiTheme="majorHAnsi" w:cstheme="majorHAnsi"/>
          <w:color w:val="000000"/>
          <w:shd w:val="clear" w:color="auto" w:fill="FFFFFF"/>
        </w:rPr>
        <w:t>không quá 2% tổng số kinh phí bồi thường, hỗ trợ, tái định cư của dự án, tiểu dự án</w:t>
      </w:r>
      <w:r w:rsidR="00AB17D8">
        <w:rPr>
          <w:rFonts w:asciiTheme="majorHAnsi" w:hAnsiTheme="majorHAnsi" w:cstheme="majorHAnsi"/>
          <w:color w:val="000000"/>
          <w:shd w:val="clear" w:color="auto" w:fill="FFFFFF"/>
          <w:lang w:val="vi-VN"/>
        </w:rPr>
        <w:t xml:space="preserve">. </w:t>
      </w:r>
      <w:r w:rsidR="00AB17D8" w:rsidRPr="00AB17D8">
        <w:rPr>
          <w:rFonts w:asciiTheme="majorHAnsi" w:hAnsiTheme="majorHAnsi" w:cstheme="majorHAnsi"/>
          <w:color w:val="000000"/>
          <w:shd w:val="clear" w:color="auto" w:fill="FFFFFF"/>
          <w:lang w:val="vi-VN"/>
        </w:rPr>
        <w:t>Đối</w:t>
      </w:r>
      <w:r w:rsidR="00AB17D8">
        <w:rPr>
          <w:rFonts w:asciiTheme="majorHAnsi" w:hAnsiTheme="majorHAnsi" w:cstheme="majorHAnsi"/>
          <w:color w:val="000000"/>
          <w:shd w:val="clear" w:color="auto" w:fill="FFFFFF"/>
          <w:lang w:val="vi-VN"/>
        </w:rPr>
        <w:t xml:space="preserve"> v</w:t>
      </w:r>
      <w:r w:rsidR="00AB17D8" w:rsidRPr="00AB17D8">
        <w:rPr>
          <w:rFonts w:asciiTheme="majorHAnsi" w:hAnsiTheme="majorHAnsi" w:cstheme="majorHAnsi"/>
          <w:color w:val="000000"/>
          <w:shd w:val="clear" w:color="auto" w:fill="FFFFFF"/>
          <w:lang w:val="vi-VN"/>
        </w:rPr>
        <w:t>ới</w:t>
      </w:r>
      <w:r w:rsidR="006511C8" w:rsidRPr="0033293D">
        <w:rPr>
          <w:rFonts w:asciiTheme="majorHAnsi" w:hAnsiTheme="majorHAnsi" w:cstheme="majorHAnsi"/>
          <w:color w:val="000000"/>
          <w:shd w:val="clear" w:color="auto" w:fill="FFFFFF"/>
        </w:rPr>
        <w:t xml:space="preserve"> </w:t>
      </w:r>
      <w:r w:rsidR="00C73CFF" w:rsidRPr="0033293D">
        <w:rPr>
          <w:rFonts w:asciiTheme="majorHAnsi" w:hAnsiTheme="majorHAnsi" w:cstheme="majorHAnsi"/>
          <w:color w:val="000000"/>
          <w:shd w:val="clear" w:color="auto" w:fill="FFFFFF"/>
        </w:rPr>
        <w:t>các dự án, tiểu dự án thực hiện trên địa bàn có điều kiện kinh tế - xã hội khó khăn hoặc đặc biệt khó khăn theo quy định của pháp luật về đầu tư, dự án, tiểu dự án xây dựng công trình hạ tầng theo tuyến</w:t>
      </w:r>
      <w:r w:rsidR="00AB17D8">
        <w:rPr>
          <w:rFonts w:asciiTheme="majorHAnsi" w:hAnsiTheme="majorHAnsi" w:cstheme="majorHAnsi"/>
          <w:color w:val="000000"/>
          <w:shd w:val="clear" w:color="auto" w:fill="FFFFFF"/>
          <w:lang w:val="vi-VN"/>
        </w:rPr>
        <w:t>, t</w:t>
      </w:r>
      <w:r w:rsidR="00AB17D8" w:rsidRPr="00AB17D8">
        <w:rPr>
          <w:rFonts w:asciiTheme="majorHAnsi" w:hAnsiTheme="majorHAnsi" w:cstheme="majorHAnsi"/>
          <w:color w:val="000000"/>
          <w:shd w:val="clear" w:color="auto" w:fill="FFFFFF"/>
          <w:lang w:val="vi-VN"/>
        </w:rPr>
        <w:t>ổng</w:t>
      </w:r>
      <w:r w:rsidR="00AB17D8">
        <w:rPr>
          <w:rFonts w:asciiTheme="majorHAnsi" w:hAnsiTheme="majorHAnsi" w:cstheme="majorHAnsi"/>
          <w:color w:val="000000"/>
          <w:shd w:val="clear" w:color="auto" w:fill="FFFFFF"/>
          <w:lang w:val="vi-VN"/>
        </w:rPr>
        <w:t xml:space="preserve"> m</w:t>
      </w:r>
      <w:r w:rsidR="00AB17D8" w:rsidRPr="00AB17D8">
        <w:rPr>
          <w:rFonts w:asciiTheme="majorHAnsi" w:hAnsiTheme="majorHAnsi" w:cstheme="majorHAnsi"/>
          <w:color w:val="000000"/>
          <w:shd w:val="clear" w:color="auto" w:fill="FFFFFF"/>
          <w:lang w:val="vi-VN"/>
        </w:rPr>
        <w:t>ức</w:t>
      </w:r>
      <w:r w:rsidR="00AB17D8">
        <w:rPr>
          <w:rFonts w:asciiTheme="majorHAnsi" w:hAnsiTheme="majorHAnsi" w:cstheme="majorHAnsi"/>
          <w:color w:val="000000"/>
          <w:shd w:val="clear" w:color="auto" w:fill="FFFFFF"/>
          <w:lang w:val="vi-VN"/>
        </w:rPr>
        <w:t xml:space="preserve"> chi </w:t>
      </w:r>
      <w:r w:rsidR="00AB17D8" w:rsidRPr="00AB17D8">
        <w:rPr>
          <w:rFonts w:asciiTheme="majorHAnsi" w:hAnsiTheme="majorHAnsi" w:cstheme="majorHAnsi"/>
          <w:color w:val="000000"/>
          <w:shd w:val="clear" w:color="auto" w:fill="FFFFFF"/>
          <w:lang w:val="vi-VN"/>
        </w:rPr>
        <w:t>đượ</w:t>
      </w:r>
      <w:r w:rsidR="00AB17D8">
        <w:rPr>
          <w:rFonts w:asciiTheme="majorHAnsi" w:hAnsiTheme="majorHAnsi" w:cstheme="majorHAnsi"/>
          <w:color w:val="000000"/>
          <w:shd w:val="clear" w:color="auto" w:fill="FFFFFF"/>
          <w:lang w:val="vi-VN"/>
        </w:rPr>
        <w:t>c x</w:t>
      </w:r>
      <w:r w:rsidR="00AB17D8" w:rsidRPr="00AB17D8">
        <w:rPr>
          <w:rFonts w:asciiTheme="majorHAnsi" w:hAnsiTheme="majorHAnsi" w:cstheme="majorHAnsi"/>
          <w:color w:val="000000"/>
          <w:shd w:val="clear" w:color="auto" w:fill="FFFFFF"/>
          <w:lang w:val="vi-VN"/>
        </w:rPr>
        <w:t>ác</w:t>
      </w:r>
      <w:r w:rsidR="00AB17D8">
        <w:rPr>
          <w:rFonts w:asciiTheme="majorHAnsi" w:hAnsiTheme="majorHAnsi" w:cstheme="majorHAnsi"/>
          <w:color w:val="000000"/>
          <w:shd w:val="clear" w:color="auto" w:fill="FFFFFF"/>
          <w:lang w:val="vi-VN"/>
        </w:rPr>
        <w:t xml:space="preserve"> </w:t>
      </w:r>
      <w:r w:rsidR="00AB17D8" w:rsidRPr="00AB17D8">
        <w:rPr>
          <w:rFonts w:asciiTheme="majorHAnsi" w:hAnsiTheme="majorHAnsi" w:cstheme="majorHAnsi"/>
          <w:color w:val="000000"/>
          <w:shd w:val="clear" w:color="auto" w:fill="FFFFFF"/>
          <w:lang w:val="vi-VN"/>
        </w:rPr>
        <w:t>định</w:t>
      </w:r>
      <w:r w:rsidR="00AB17D8">
        <w:rPr>
          <w:rFonts w:asciiTheme="majorHAnsi" w:hAnsiTheme="majorHAnsi" w:cstheme="majorHAnsi"/>
          <w:color w:val="000000"/>
          <w:shd w:val="clear" w:color="auto" w:fill="FFFFFF"/>
          <w:lang w:val="vi-VN"/>
        </w:rPr>
        <w:t xml:space="preserve"> tr</w:t>
      </w:r>
      <w:r w:rsidR="00AB17D8" w:rsidRPr="00AB17D8">
        <w:rPr>
          <w:rFonts w:asciiTheme="majorHAnsi" w:hAnsiTheme="majorHAnsi" w:cstheme="majorHAnsi"/>
          <w:color w:val="000000"/>
          <w:shd w:val="clear" w:color="auto" w:fill="FFFFFF"/>
          <w:lang w:val="vi-VN"/>
        </w:rPr>
        <w:t>ê</w:t>
      </w:r>
      <w:r w:rsidR="00AB17D8">
        <w:rPr>
          <w:rFonts w:asciiTheme="majorHAnsi" w:hAnsiTheme="majorHAnsi" w:cstheme="majorHAnsi"/>
          <w:color w:val="000000"/>
          <w:shd w:val="clear" w:color="auto" w:fill="FFFFFF"/>
          <w:lang w:val="vi-VN"/>
        </w:rPr>
        <w:t>n c</w:t>
      </w:r>
      <w:r w:rsidR="00AB17D8" w:rsidRPr="00AB17D8">
        <w:rPr>
          <w:rFonts w:asciiTheme="majorHAnsi" w:hAnsiTheme="majorHAnsi" w:cstheme="majorHAnsi"/>
          <w:color w:val="000000"/>
          <w:shd w:val="clear" w:color="auto" w:fill="FFFFFF"/>
          <w:lang w:val="vi-VN"/>
        </w:rPr>
        <w:t>ơ</w:t>
      </w:r>
      <w:r w:rsidR="00AB17D8">
        <w:rPr>
          <w:rFonts w:asciiTheme="majorHAnsi" w:hAnsiTheme="majorHAnsi" w:cstheme="majorHAnsi"/>
          <w:color w:val="000000"/>
          <w:shd w:val="clear" w:color="auto" w:fill="FFFFFF"/>
          <w:lang w:val="vi-VN"/>
        </w:rPr>
        <w:t xml:space="preserve"> s</w:t>
      </w:r>
      <w:r w:rsidR="00AB17D8" w:rsidRPr="00AB17D8">
        <w:rPr>
          <w:rFonts w:asciiTheme="majorHAnsi" w:hAnsiTheme="majorHAnsi" w:cstheme="majorHAnsi"/>
          <w:color w:val="000000"/>
          <w:shd w:val="clear" w:color="auto" w:fill="FFFFFF"/>
          <w:lang w:val="vi-VN"/>
        </w:rPr>
        <w:t>ở</w:t>
      </w:r>
      <w:r w:rsidR="00AB17D8">
        <w:rPr>
          <w:rFonts w:asciiTheme="majorHAnsi" w:hAnsiTheme="majorHAnsi" w:cstheme="majorHAnsi"/>
          <w:color w:val="000000"/>
          <w:shd w:val="clear" w:color="auto" w:fill="FFFFFF"/>
          <w:lang w:val="vi-VN"/>
        </w:rPr>
        <w:t xml:space="preserve"> kh</w:t>
      </w:r>
      <w:r w:rsidR="00AB17D8" w:rsidRPr="00AB17D8">
        <w:rPr>
          <w:rFonts w:asciiTheme="majorHAnsi" w:hAnsiTheme="majorHAnsi" w:cstheme="majorHAnsi"/>
          <w:color w:val="000000"/>
          <w:shd w:val="clear" w:color="auto" w:fill="FFFFFF"/>
          <w:lang w:val="vi-VN"/>
        </w:rPr>
        <w:t>ối</w:t>
      </w:r>
      <w:r w:rsidR="00AB17D8">
        <w:rPr>
          <w:rFonts w:asciiTheme="majorHAnsi" w:hAnsiTheme="majorHAnsi" w:cstheme="majorHAnsi"/>
          <w:color w:val="000000"/>
          <w:shd w:val="clear" w:color="auto" w:fill="FFFFFF"/>
          <w:lang w:val="vi-VN"/>
        </w:rPr>
        <w:t xml:space="preserve"> l</w:t>
      </w:r>
      <w:r w:rsidR="00AB17D8" w:rsidRPr="00AB17D8">
        <w:rPr>
          <w:rFonts w:asciiTheme="majorHAnsi" w:hAnsiTheme="majorHAnsi" w:cstheme="majorHAnsi"/>
          <w:color w:val="000000"/>
          <w:shd w:val="clear" w:color="auto" w:fill="FFFFFF"/>
          <w:lang w:val="vi-VN"/>
        </w:rPr>
        <w:t>ượng</w:t>
      </w:r>
      <w:r w:rsidR="00AB17D8">
        <w:rPr>
          <w:rFonts w:asciiTheme="majorHAnsi" w:hAnsiTheme="majorHAnsi" w:cstheme="majorHAnsi"/>
          <w:color w:val="000000"/>
          <w:shd w:val="clear" w:color="auto" w:fill="FFFFFF"/>
          <w:lang w:val="vi-VN"/>
        </w:rPr>
        <w:t xml:space="preserve"> c</w:t>
      </w:r>
      <w:r w:rsidR="00AB17D8" w:rsidRPr="00AB17D8">
        <w:rPr>
          <w:rFonts w:asciiTheme="majorHAnsi" w:hAnsiTheme="majorHAnsi" w:cstheme="majorHAnsi"/>
          <w:color w:val="000000"/>
          <w:shd w:val="clear" w:color="auto" w:fill="FFFFFF"/>
          <w:lang w:val="vi-VN"/>
        </w:rPr>
        <w:t>ô</w:t>
      </w:r>
      <w:r w:rsidR="00AB17D8">
        <w:rPr>
          <w:rFonts w:asciiTheme="majorHAnsi" w:hAnsiTheme="majorHAnsi" w:cstheme="majorHAnsi"/>
          <w:color w:val="000000"/>
          <w:shd w:val="clear" w:color="auto" w:fill="FFFFFF"/>
          <w:lang w:val="vi-VN"/>
        </w:rPr>
        <w:t>ng v</w:t>
      </w:r>
      <w:r w:rsidR="00AB17D8" w:rsidRPr="00AB17D8">
        <w:rPr>
          <w:rFonts w:asciiTheme="majorHAnsi" w:hAnsiTheme="majorHAnsi" w:cstheme="majorHAnsi"/>
          <w:color w:val="000000"/>
          <w:shd w:val="clear" w:color="auto" w:fill="FFFFFF"/>
          <w:lang w:val="vi-VN"/>
        </w:rPr>
        <w:t>iệ</w:t>
      </w:r>
      <w:r w:rsidR="00AB17D8">
        <w:rPr>
          <w:rFonts w:asciiTheme="majorHAnsi" w:hAnsiTheme="majorHAnsi" w:cstheme="majorHAnsi"/>
          <w:color w:val="000000"/>
          <w:shd w:val="clear" w:color="auto" w:fill="FFFFFF"/>
          <w:lang w:val="vi-VN"/>
        </w:rPr>
        <w:t>c th</w:t>
      </w:r>
      <w:r w:rsidR="00AB17D8" w:rsidRPr="00AB17D8">
        <w:rPr>
          <w:rFonts w:asciiTheme="majorHAnsi" w:hAnsiTheme="majorHAnsi" w:cstheme="majorHAnsi"/>
          <w:color w:val="000000"/>
          <w:shd w:val="clear" w:color="auto" w:fill="FFFFFF"/>
          <w:lang w:val="vi-VN"/>
        </w:rPr>
        <w:t>ự</w:t>
      </w:r>
      <w:r w:rsidR="00AB17D8">
        <w:rPr>
          <w:rFonts w:asciiTheme="majorHAnsi" w:hAnsiTheme="majorHAnsi" w:cstheme="majorHAnsi"/>
          <w:color w:val="000000"/>
          <w:shd w:val="clear" w:color="auto" w:fill="FFFFFF"/>
          <w:lang w:val="vi-VN"/>
        </w:rPr>
        <w:t>c t</w:t>
      </w:r>
      <w:r w:rsidR="00AB17D8" w:rsidRPr="00AB17D8">
        <w:rPr>
          <w:rFonts w:asciiTheme="majorHAnsi" w:hAnsiTheme="majorHAnsi" w:cstheme="majorHAnsi"/>
          <w:color w:val="000000"/>
          <w:shd w:val="clear" w:color="auto" w:fill="FFFFFF"/>
          <w:lang w:val="vi-VN"/>
        </w:rPr>
        <w:t>ế</w:t>
      </w:r>
      <w:r w:rsidR="00AB17D8">
        <w:rPr>
          <w:rFonts w:asciiTheme="majorHAnsi" w:hAnsiTheme="majorHAnsi" w:cstheme="majorHAnsi"/>
          <w:color w:val="000000"/>
          <w:shd w:val="clear" w:color="auto" w:fill="FFFFFF"/>
          <w:lang w:val="vi-VN"/>
        </w:rPr>
        <w:t xml:space="preserve"> theo d</w:t>
      </w:r>
      <w:r w:rsidR="00AB17D8" w:rsidRPr="00AB17D8">
        <w:rPr>
          <w:rFonts w:asciiTheme="majorHAnsi" w:hAnsiTheme="majorHAnsi" w:cstheme="majorHAnsi"/>
          <w:color w:val="000000"/>
          <w:shd w:val="clear" w:color="auto" w:fill="FFFFFF"/>
          <w:lang w:val="vi-VN"/>
        </w:rPr>
        <w:t>ự</w:t>
      </w:r>
      <w:r w:rsidR="00AB17D8">
        <w:rPr>
          <w:rFonts w:asciiTheme="majorHAnsi" w:hAnsiTheme="majorHAnsi" w:cstheme="majorHAnsi"/>
          <w:color w:val="000000"/>
          <w:shd w:val="clear" w:color="auto" w:fill="FFFFFF"/>
          <w:lang w:val="vi-VN"/>
        </w:rPr>
        <w:t xml:space="preserve"> t</w:t>
      </w:r>
      <w:r w:rsidR="00AB17D8" w:rsidRPr="00AB17D8">
        <w:rPr>
          <w:rFonts w:asciiTheme="majorHAnsi" w:hAnsiTheme="majorHAnsi" w:cstheme="majorHAnsi"/>
          <w:color w:val="000000"/>
          <w:shd w:val="clear" w:color="auto" w:fill="FFFFFF"/>
          <w:lang w:val="vi-VN"/>
        </w:rPr>
        <w:t>oán</w:t>
      </w:r>
      <w:r w:rsidR="00AB17D8">
        <w:rPr>
          <w:rFonts w:asciiTheme="majorHAnsi" w:hAnsiTheme="majorHAnsi" w:cstheme="majorHAnsi"/>
          <w:color w:val="000000"/>
          <w:shd w:val="clear" w:color="auto" w:fill="FFFFFF"/>
          <w:lang w:val="vi-VN"/>
        </w:rPr>
        <w:t xml:space="preserve"> </w:t>
      </w:r>
      <w:r w:rsidR="00AB17D8" w:rsidRPr="00AB17D8">
        <w:rPr>
          <w:rFonts w:asciiTheme="majorHAnsi" w:hAnsiTheme="majorHAnsi" w:cstheme="majorHAnsi"/>
          <w:color w:val="000000"/>
          <w:shd w:val="clear" w:color="auto" w:fill="FFFFFF"/>
          <w:lang w:val="vi-VN"/>
        </w:rPr>
        <w:t>đượ</w:t>
      </w:r>
      <w:r w:rsidR="00AB17D8">
        <w:rPr>
          <w:rFonts w:asciiTheme="majorHAnsi" w:hAnsiTheme="majorHAnsi" w:cstheme="majorHAnsi"/>
          <w:color w:val="000000"/>
          <w:shd w:val="clear" w:color="auto" w:fill="FFFFFF"/>
          <w:lang w:val="vi-VN"/>
        </w:rPr>
        <w:t>c c</w:t>
      </w:r>
      <w:r w:rsidR="00AB17D8" w:rsidRPr="00AB17D8">
        <w:rPr>
          <w:rFonts w:asciiTheme="majorHAnsi" w:hAnsiTheme="majorHAnsi" w:cstheme="majorHAnsi"/>
          <w:color w:val="000000"/>
          <w:shd w:val="clear" w:color="auto" w:fill="FFFFFF"/>
          <w:lang w:val="vi-VN"/>
        </w:rPr>
        <w:t>ơ</w:t>
      </w:r>
      <w:r w:rsidR="00AB17D8">
        <w:rPr>
          <w:rFonts w:asciiTheme="majorHAnsi" w:hAnsiTheme="majorHAnsi" w:cstheme="majorHAnsi"/>
          <w:color w:val="000000"/>
          <w:shd w:val="clear" w:color="auto" w:fill="FFFFFF"/>
          <w:lang w:val="vi-VN"/>
        </w:rPr>
        <w:t xml:space="preserve"> quan nh</w:t>
      </w:r>
      <w:r w:rsidR="00AB17D8" w:rsidRPr="00AB17D8">
        <w:rPr>
          <w:rFonts w:asciiTheme="majorHAnsi" w:hAnsiTheme="majorHAnsi" w:cstheme="majorHAnsi"/>
          <w:color w:val="000000"/>
          <w:shd w:val="clear" w:color="auto" w:fill="FFFFFF"/>
          <w:lang w:val="vi-VN"/>
        </w:rPr>
        <w:t>à</w:t>
      </w:r>
      <w:r w:rsidR="00AB17D8">
        <w:rPr>
          <w:rFonts w:asciiTheme="majorHAnsi" w:hAnsiTheme="majorHAnsi" w:cstheme="majorHAnsi"/>
          <w:color w:val="000000"/>
          <w:shd w:val="clear" w:color="auto" w:fill="FFFFFF"/>
          <w:lang w:val="vi-VN"/>
        </w:rPr>
        <w:t xml:space="preserve"> n</w:t>
      </w:r>
      <w:r w:rsidR="00AB17D8" w:rsidRPr="00AB17D8">
        <w:rPr>
          <w:rFonts w:asciiTheme="majorHAnsi" w:hAnsiTheme="majorHAnsi" w:cstheme="majorHAnsi"/>
          <w:color w:val="000000"/>
          <w:shd w:val="clear" w:color="auto" w:fill="FFFFFF"/>
          <w:lang w:val="vi-VN"/>
        </w:rPr>
        <w:t>ước</w:t>
      </w:r>
      <w:r w:rsidR="00AB17D8">
        <w:rPr>
          <w:rFonts w:asciiTheme="majorHAnsi" w:hAnsiTheme="majorHAnsi" w:cstheme="majorHAnsi"/>
          <w:color w:val="000000"/>
          <w:shd w:val="clear" w:color="auto" w:fill="FFFFFF"/>
          <w:lang w:val="vi-VN"/>
        </w:rPr>
        <w:t xml:space="preserve"> c</w:t>
      </w:r>
      <w:r w:rsidR="00AB17D8" w:rsidRPr="00AB17D8">
        <w:rPr>
          <w:rFonts w:asciiTheme="majorHAnsi" w:hAnsiTheme="majorHAnsi" w:cstheme="majorHAnsi"/>
          <w:color w:val="000000"/>
          <w:shd w:val="clear" w:color="auto" w:fill="FFFFFF"/>
          <w:lang w:val="vi-VN"/>
        </w:rPr>
        <w:t>ó</w:t>
      </w:r>
      <w:r w:rsidR="00AB17D8">
        <w:rPr>
          <w:rFonts w:asciiTheme="majorHAnsi" w:hAnsiTheme="majorHAnsi" w:cstheme="majorHAnsi"/>
          <w:color w:val="000000"/>
          <w:shd w:val="clear" w:color="auto" w:fill="FFFFFF"/>
          <w:lang w:val="vi-VN"/>
        </w:rPr>
        <w:t xml:space="preserve"> th</w:t>
      </w:r>
      <w:r w:rsidR="00AB17D8" w:rsidRPr="00AB17D8">
        <w:rPr>
          <w:rFonts w:asciiTheme="majorHAnsi" w:hAnsiTheme="majorHAnsi" w:cstheme="majorHAnsi"/>
          <w:color w:val="000000"/>
          <w:shd w:val="clear" w:color="auto" w:fill="FFFFFF"/>
          <w:lang w:val="vi-VN"/>
        </w:rPr>
        <w:t>ẩ</w:t>
      </w:r>
      <w:r w:rsidR="00AB17D8">
        <w:rPr>
          <w:rFonts w:asciiTheme="majorHAnsi" w:hAnsiTheme="majorHAnsi" w:cstheme="majorHAnsi"/>
          <w:color w:val="000000"/>
          <w:shd w:val="clear" w:color="auto" w:fill="FFFFFF"/>
          <w:lang w:val="vi-VN"/>
        </w:rPr>
        <w:t>m quy</w:t>
      </w:r>
      <w:r w:rsidR="00AB17D8" w:rsidRPr="00AB17D8">
        <w:rPr>
          <w:rFonts w:asciiTheme="majorHAnsi" w:hAnsiTheme="majorHAnsi" w:cstheme="majorHAnsi"/>
          <w:color w:val="000000"/>
          <w:shd w:val="clear" w:color="auto" w:fill="FFFFFF"/>
          <w:lang w:val="vi-VN"/>
        </w:rPr>
        <w:t>ền</w:t>
      </w:r>
      <w:r w:rsidR="00AB17D8">
        <w:rPr>
          <w:rFonts w:asciiTheme="majorHAnsi" w:hAnsiTheme="majorHAnsi" w:cstheme="majorHAnsi"/>
          <w:color w:val="000000"/>
          <w:shd w:val="clear" w:color="auto" w:fill="FFFFFF"/>
          <w:lang w:val="vi-VN"/>
        </w:rPr>
        <w:t xml:space="preserve"> ph</w:t>
      </w:r>
      <w:r w:rsidR="00AB17D8" w:rsidRPr="00AB17D8">
        <w:rPr>
          <w:rFonts w:asciiTheme="majorHAnsi" w:hAnsiTheme="majorHAnsi" w:cstheme="majorHAnsi"/>
          <w:color w:val="000000"/>
          <w:shd w:val="clear" w:color="auto" w:fill="FFFFFF"/>
          <w:lang w:val="vi-VN"/>
        </w:rPr>
        <w:t>ê</w:t>
      </w:r>
      <w:r w:rsidR="00AB17D8">
        <w:rPr>
          <w:rFonts w:asciiTheme="majorHAnsi" w:hAnsiTheme="majorHAnsi" w:cstheme="majorHAnsi"/>
          <w:color w:val="000000"/>
          <w:shd w:val="clear" w:color="auto" w:fill="FFFFFF"/>
          <w:lang w:val="vi-VN"/>
        </w:rPr>
        <w:t xml:space="preserve"> duy</w:t>
      </w:r>
      <w:r w:rsidR="00AB17D8" w:rsidRPr="00AB17D8">
        <w:rPr>
          <w:rFonts w:asciiTheme="majorHAnsi" w:hAnsiTheme="majorHAnsi" w:cstheme="majorHAnsi"/>
          <w:color w:val="000000"/>
          <w:shd w:val="clear" w:color="auto" w:fill="FFFFFF"/>
          <w:lang w:val="vi-VN"/>
        </w:rPr>
        <w:t>ệt</w:t>
      </w:r>
      <w:r w:rsidR="00AB17D8">
        <w:rPr>
          <w:rFonts w:asciiTheme="majorHAnsi" w:hAnsiTheme="majorHAnsi" w:cstheme="majorHAnsi"/>
          <w:color w:val="000000"/>
          <w:shd w:val="clear" w:color="auto" w:fill="FFFFFF"/>
          <w:lang w:val="vi-VN"/>
        </w:rPr>
        <w:t>.</w:t>
      </w:r>
    </w:p>
    <w:p w14:paraId="2B9F8537" w14:textId="0AE0B9D7" w:rsidR="000021AD" w:rsidRPr="0033293D" w:rsidRDefault="009901AF" w:rsidP="00CC0124">
      <w:pPr>
        <w:pStyle w:val="NormalWeb"/>
        <w:spacing w:before="0" w:beforeAutospacing="0" w:after="0" w:afterAutospacing="0" w:line="360" w:lineRule="exact"/>
        <w:ind w:firstLine="567"/>
        <w:rPr>
          <w:rFonts w:asciiTheme="majorHAnsi" w:hAnsiTheme="majorHAnsi" w:cstheme="majorHAnsi"/>
          <w:b/>
          <w:sz w:val="28"/>
          <w:szCs w:val="28"/>
          <w:lang w:val="vi-VN"/>
        </w:rPr>
      </w:pPr>
      <w:r w:rsidRPr="0033293D">
        <w:rPr>
          <w:rFonts w:asciiTheme="majorHAnsi" w:hAnsiTheme="majorHAnsi" w:cstheme="majorHAnsi"/>
          <w:b/>
          <w:bCs/>
          <w:sz w:val="28"/>
          <w:szCs w:val="28"/>
          <w:lang w:val="vi-VN"/>
        </w:rPr>
        <w:t>Đ</w:t>
      </w:r>
      <w:r w:rsidR="00627539" w:rsidRPr="0033293D">
        <w:rPr>
          <w:rFonts w:asciiTheme="majorHAnsi" w:hAnsiTheme="majorHAnsi" w:cstheme="majorHAnsi"/>
          <w:b/>
          <w:bCs/>
          <w:sz w:val="28"/>
          <w:szCs w:val="28"/>
          <w:lang w:val="vi-VN"/>
        </w:rPr>
        <w:t xml:space="preserve">iều </w:t>
      </w:r>
      <w:r w:rsidR="00CA6812">
        <w:rPr>
          <w:rFonts w:asciiTheme="majorHAnsi" w:hAnsiTheme="majorHAnsi" w:cstheme="majorHAnsi"/>
          <w:b/>
          <w:bCs/>
          <w:sz w:val="28"/>
          <w:szCs w:val="28"/>
        </w:rPr>
        <w:t>4</w:t>
      </w:r>
      <w:r w:rsidR="000021AD" w:rsidRPr="0033293D">
        <w:rPr>
          <w:rFonts w:asciiTheme="majorHAnsi" w:hAnsiTheme="majorHAnsi" w:cstheme="majorHAnsi"/>
          <w:b/>
          <w:bCs/>
          <w:sz w:val="28"/>
          <w:szCs w:val="28"/>
          <w:lang w:val="vi-VN"/>
        </w:rPr>
        <w:t>.</w:t>
      </w:r>
      <w:r w:rsidR="000021AD" w:rsidRPr="0033293D">
        <w:rPr>
          <w:rFonts w:asciiTheme="majorHAnsi" w:hAnsiTheme="majorHAnsi" w:cstheme="majorHAnsi"/>
          <w:b/>
          <w:sz w:val="28"/>
          <w:szCs w:val="28"/>
          <w:lang w:val="vi-VN"/>
        </w:rPr>
        <w:t xml:space="preserve"> Tổ chức thực hiện</w:t>
      </w:r>
    </w:p>
    <w:p w14:paraId="21C661EE" w14:textId="029DA832" w:rsidR="000021AD" w:rsidRPr="0033293D" w:rsidRDefault="000021AD" w:rsidP="00CC0124">
      <w:pPr>
        <w:spacing w:line="360" w:lineRule="exact"/>
        <w:ind w:firstLine="567"/>
        <w:jc w:val="both"/>
        <w:rPr>
          <w:rFonts w:asciiTheme="majorHAnsi" w:hAnsiTheme="majorHAnsi" w:cstheme="majorHAnsi"/>
          <w:lang w:val="nl-NL"/>
        </w:rPr>
      </w:pPr>
      <w:r w:rsidRPr="0033293D">
        <w:rPr>
          <w:rFonts w:asciiTheme="majorHAnsi" w:hAnsiTheme="majorHAnsi" w:cstheme="majorHAnsi"/>
          <w:lang w:val="nl-NL"/>
        </w:rPr>
        <w:t xml:space="preserve">1. </w:t>
      </w:r>
      <w:r w:rsidR="00F379C9" w:rsidRPr="0033293D">
        <w:rPr>
          <w:rFonts w:asciiTheme="majorHAnsi" w:hAnsiTheme="majorHAnsi" w:cstheme="majorHAnsi"/>
          <w:lang w:val="nl-NL"/>
        </w:rPr>
        <w:t>G</w:t>
      </w:r>
      <w:r w:rsidRPr="0033293D">
        <w:rPr>
          <w:rFonts w:asciiTheme="majorHAnsi" w:hAnsiTheme="majorHAnsi" w:cstheme="majorHAnsi"/>
          <w:lang w:val="nl-NL"/>
        </w:rPr>
        <w:t xml:space="preserve">iao Ủy ban nhân dân tỉnh tổ chức thực hiện Nghị quyết này. </w:t>
      </w:r>
    </w:p>
    <w:p w14:paraId="7EE2441B" w14:textId="77777777" w:rsidR="00F379C9" w:rsidRPr="0033293D" w:rsidRDefault="000021AD" w:rsidP="00CC0124">
      <w:pPr>
        <w:pStyle w:val="NormalWeb"/>
        <w:shd w:val="clear" w:color="auto" w:fill="FFFFFF"/>
        <w:spacing w:before="0" w:beforeAutospacing="0" w:after="0" w:afterAutospacing="0" w:line="360" w:lineRule="exact"/>
        <w:ind w:firstLine="567"/>
        <w:jc w:val="both"/>
        <w:rPr>
          <w:sz w:val="28"/>
          <w:szCs w:val="28"/>
        </w:rPr>
      </w:pPr>
      <w:r w:rsidRPr="0033293D">
        <w:rPr>
          <w:rFonts w:asciiTheme="majorHAnsi" w:hAnsiTheme="majorHAnsi" w:cstheme="majorHAnsi"/>
          <w:sz w:val="28"/>
          <w:szCs w:val="28"/>
          <w:lang w:val="nl-NL"/>
        </w:rPr>
        <w:t xml:space="preserve">2. </w:t>
      </w:r>
      <w:r w:rsidR="00F379C9" w:rsidRPr="0033293D">
        <w:rPr>
          <w:sz w:val="28"/>
          <w:szCs w:val="28"/>
        </w:rPr>
        <w:t>Giao Thường trực Hội đồng nhân dân tỉnh, các Ban của Hội đồng nhân dân tỉnh, Tổ đại biểu Hội đồng nhân dân tỉnh và đại biểu Hội đồng nhân dân tỉnh giám sát việc thực hiện Nghị quyết này.</w:t>
      </w:r>
    </w:p>
    <w:p w14:paraId="68B6C333" w14:textId="1FF51EF3" w:rsidR="00C858A3" w:rsidRPr="0033293D" w:rsidRDefault="00C858A3" w:rsidP="00CC0124">
      <w:pPr>
        <w:spacing w:line="360" w:lineRule="exact"/>
        <w:ind w:firstLine="567"/>
        <w:jc w:val="both"/>
        <w:rPr>
          <w:rFonts w:asciiTheme="majorHAnsi" w:hAnsiTheme="majorHAnsi" w:cstheme="majorHAnsi"/>
          <w:b/>
          <w:bCs/>
          <w:lang w:val="nl-NL"/>
        </w:rPr>
      </w:pPr>
      <w:r w:rsidRPr="0033293D">
        <w:rPr>
          <w:rFonts w:asciiTheme="majorHAnsi" w:hAnsiTheme="majorHAnsi" w:cstheme="majorHAnsi"/>
          <w:b/>
          <w:bCs/>
          <w:lang w:val="nl-NL"/>
        </w:rPr>
        <w:t xml:space="preserve">Điều </w:t>
      </w:r>
      <w:r w:rsidR="00CA6812">
        <w:rPr>
          <w:rFonts w:asciiTheme="majorHAnsi" w:hAnsiTheme="majorHAnsi" w:cstheme="majorHAnsi"/>
          <w:b/>
          <w:bCs/>
          <w:lang w:val="nl-NL"/>
        </w:rPr>
        <w:t>5</w:t>
      </w:r>
      <w:r w:rsidRPr="0033293D">
        <w:rPr>
          <w:rFonts w:asciiTheme="majorHAnsi" w:hAnsiTheme="majorHAnsi" w:cstheme="majorHAnsi"/>
          <w:b/>
          <w:bCs/>
          <w:lang w:val="nl-NL"/>
        </w:rPr>
        <w:t>. Hiệu lực thi hành</w:t>
      </w:r>
    </w:p>
    <w:bookmarkEnd w:id="2"/>
    <w:p w14:paraId="229BA090" w14:textId="7DFE30CD" w:rsidR="00F379C9" w:rsidRPr="0033293D" w:rsidRDefault="00F379C9" w:rsidP="00CC0124">
      <w:pPr>
        <w:spacing w:line="360" w:lineRule="exact"/>
        <w:ind w:firstLine="567"/>
        <w:jc w:val="both"/>
        <w:rPr>
          <w:bCs/>
        </w:rPr>
      </w:pPr>
      <w:r w:rsidRPr="0033293D">
        <w:rPr>
          <w:bCs/>
        </w:rPr>
        <w:t xml:space="preserve">Nghị quyết này đã được Hội đồng nhân dân tỉnh </w:t>
      </w:r>
      <w:r w:rsidR="009955DD">
        <w:rPr>
          <w:bCs/>
        </w:rPr>
        <w:t>Thanh Hóa</w:t>
      </w:r>
      <w:r w:rsidRPr="0033293D">
        <w:rPr>
          <w:bCs/>
        </w:rPr>
        <w:t xml:space="preserve"> Khóa…Kỳ họp thứ…thông qua ngày …/…/2024 và có hiệu lực từ ngày thông qua./.</w:t>
      </w:r>
    </w:p>
    <w:p w14:paraId="0E9A850D" w14:textId="77777777" w:rsidR="00883EC6" w:rsidRPr="009F4768" w:rsidRDefault="00883EC6" w:rsidP="009F4768">
      <w:pPr>
        <w:spacing w:after="120"/>
        <w:ind w:firstLine="720"/>
        <w:jc w:val="both"/>
        <w:rPr>
          <w:rFonts w:asciiTheme="majorHAnsi" w:hAnsiTheme="majorHAnsi" w:cstheme="majorHAnsi"/>
          <w:spacing w:val="-4"/>
          <w:lang w:val="nl-NL"/>
        </w:rPr>
      </w:pPr>
    </w:p>
    <w:tbl>
      <w:tblPr>
        <w:tblW w:w="9828" w:type="dxa"/>
        <w:tblLook w:val="01E0" w:firstRow="1" w:lastRow="1" w:firstColumn="1" w:lastColumn="1" w:noHBand="0" w:noVBand="0"/>
      </w:tblPr>
      <w:tblGrid>
        <w:gridCol w:w="4904"/>
        <w:gridCol w:w="4924"/>
      </w:tblGrid>
      <w:tr w:rsidR="00E80360" w:rsidRPr="00375158" w14:paraId="44D2C4EF" w14:textId="77777777" w:rsidTr="003D31FA">
        <w:trPr>
          <w:trHeight w:val="568"/>
        </w:trPr>
        <w:tc>
          <w:tcPr>
            <w:tcW w:w="4904" w:type="dxa"/>
            <w:shd w:val="clear" w:color="auto" w:fill="FFFFFF"/>
          </w:tcPr>
          <w:p w14:paraId="16646C33" w14:textId="77777777" w:rsidR="00E80360" w:rsidRDefault="00E80360" w:rsidP="0066656E">
            <w:pPr>
              <w:pStyle w:val="NormalWeb"/>
              <w:spacing w:before="0" w:beforeAutospacing="0" w:after="0" w:afterAutospacing="0"/>
              <w:rPr>
                <w:color w:val="000000"/>
                <w:sz w:val="22"/>
                <w:szCs w:val="22"/>
              </w:rPr>
            </w:pPr>
            <w:r w:rsidRPr="00AF35A6">
              <w:rPr>
                <w:b/>
                <w:bCs/>
                <w:i/>
                <w:iCs/>
                <w:color w:val="000000"/>
                <w:lang w:val="vi-VN"/>
              </w:rPr>
              <w:t>Nơi nhận:</w:t>
            </w:r>
            <w:r w:rsidRPr="00AF35A6">
              <w:rPr>
                <w:b/>
                <w:bCs/>
                <w:i/>
                <w:iCs/>
                <w:color w:val="000000"/>
                <w:sz w:val="18"/>
                <w:szCs w:val="18"/>
                <w:lang w:val="vi-VN"/>
              </w:rPr>
              <w:br/>
            </w:r>
            <w:r w:rsidRPr="00AF35A6">
              <w:rPr>
                <w:color w:val="000000"/>
                <w:sz w:val="22"/>
                <w:szCs w:val="22"/>
                <w:lang w:val="vi-VN"/>
              </w:rPr>
              <w:t>- Ủy ban Thường vụ Quốc hội, Chính phủ (để b/c);</w:t>
            </w:r>
            <w:r w:rsidRPr="00AF35A6">
              <w:rPr>
                <w:color w:val="000000"/>
                <w:sz w:val="22"/>
                <w:szCs w:val="22"/>
                <w:lang w:val="vi-VN"/>
              </w:rPr>
              <w:br/>
              <w:t xml:space="preserve">- Bộ </w:t>
            </w:r>
            <w:r>
              <w:rPr>
                <w:color w:val="000000"/>
                <w:sz w:val="22"/>
                <w:szCs w:val="22"/>
              </w:rPr>
              <w:t>T</w:t>
            </w:r>
            <w:r w:rsidRPr="00AF35A6">
              <w:rPr>
                <w:color w:val="000000"/>
                <w:sz w:val="22"/>
                <w:szCs w:val="22"/>
              </w:rPr>
              <w:t>ài</w:t>
            </w:r>
            <w:r>
              <w:rPr>
                <w:color w:val="000000"/>
                <w:sz w:val="22"/>
                <w:szCs w:val="22"/>
              </w:rPr>
              <w:t xml:space="preserve"> nguy</w:t>
            </w:r>
            <w:r w:rsidRPr="00AF35A6">
              <w:rPr>
                <w:color w:val="000000"/>
                <w:sz w:val="22"/>
                <w:szCs w:val="22"/>
              </w:rPr>
              <w:t>ê</w:t>
            </w:r>
            <w:r>
              <w:rPr>
                <w:color w:val="000000"/>
                <w:sz w:val="22"/>
                <w:szCs w:val="22"/>
              </w:rPr>
              <w:t>n v</w:t>
            </w:r>
            <w:r w:rsidRPr="00AF35A6">
              <w:rPr>
                <w:color w:val="000000"/>
                <w:sz w:val="22"/>
                <w:szCs w:val="22"/>
              </w:rPr>
              <w:t>à</w:t>
            </w:r>
            <w:r>
              <w:rPr>
                <w:color w:val="000000"/>
                <w:sz w:val="22"/>
                <w:szCs w:val="22"/>
              </w:rPr>
              <w:t xml:space="preserve"> M</w:t>
            </w:r>
            <w:r w:rsidRPr="00AF35A6">
              <w:rPr>
                <w:color w:val="000000"/>
                <w:sz w:val="22"/>
                <w:szCs w:val="22"/>
              </w:rPr>
              <w:t>ô</w:t>
            </w:r>
            <w:r>
              <w:rPr>
                <w:color w:val="000000"/>
                <w:sz w:val="22"/>
                <w:szCs w:val="22"/>
              </w:rPr>
              <w:t>i tr</w:t>
            </w:r>
            <w:r w:rsidRPr="00AF35A6">
              <w:rPr>
                <w:color w:val="000000"/>
                <w:sz w:val="22"/>
                <w:szCs w:val="22"/>
              </w:rPr>
              <w:t>ường</w:t>
            </w:r>
            <w:r w:rsidRPr="00AF35A6">
              <w:rPr>
                <w:color w:val="000000"/>
                <w:sz w:val="22"/>
                <w:szCs w:val="22"/>
                <w:lang w:val="vi-VN"/>
              </w:rPr>
              <w:t xml:space="preserve">, </w:t>
            </w:r>
            <w:r>
              <w:rPr>
                <w:color w:val="000000"/>
                <w:sz w:val="22"/>
                <w:szCs w:val="22"/>
              </w:rPr>
              <w:t>B</w:t>
            </w:r>
            <w:r w:rsidRPr="00AF35A6">
              <w:rPr>
                <w:color w:val="000000"/>
                <w:sz w:val="22"/>
                <w:szCs w:val="22"/>
              </w:rPr>
              <w:t>ộ</w:t>
            </w:r>
            <w:r>
              <w:rPr>
                <w:color w:val="000000"/>
                <w:sz w:val="22"/>
                <w:szCs w:val="22"/>
              </w:rPr>
              <w:t xml:space="preserve"> T</w:t>
            </w:r>
            <w:r w:rsidRPr="00AF35A6">
              <w:rPr>
                <w:color w:val="000000"/>
                <w:sz w:val="22"/>
                <w:szCs w:val="22"/>
              </w:rPr>
              <w:t>ài</w:t>
            </w:r>
            <w:r>
              <w:rPr>
                <w:color w:val="000000"/>
                <w:sz w:val="22"/>
                <w:szCs w:val="22"/>
              </w:rPr>
              <w:t xml:space="preserve"> ch</w:t>
            </w:r>
            <w:r w:rsidRPr="00AF35A6">
              <w:rPr>
                <w:color w:val="000000"/>
                <w:sz w:val="22"/>
                <w:szCs w:val="22"/>
              </w:rPr>
              <w:t>ính</w:t>
            </w:r>
            <w:r>
              <w:rPr>
                <w:color w:val="000000"/>
                <w:sz w:val="22"/>
                <w:szCs w:val="22"/>
              </w:rPr>
              <w:t xml:space="preserve">, </w:t>
            </w:r>
            <w:r w:rsidRPr="00AF35A6">
              <w:rPr>
                <w:color w:val="000000"/>
                <w:sz w:val="22"/>
                <w:szCs w:val="22"/>
                <w:lang w:val="vi-VN"/>
              </w:rPr>
              <w:t>Bộ Tư pháp (</w:t>
            </w:r>
            <w:r w:rsidRPr="00E9700D">
              <w:rPr>
                <w:color w:val="000000"/>
                <w:sz w:val="22"/>
                <w:szCs w:val="22"/>
                <w:lang w:val="vi-VN"/>
              </w:rPr>
              <w:t>để</w:t>
            </w:r>
            <w:r>
              <w:rPr>
                <w:color w:val="000000"/>
                <w:sz w:val="22"/>
                <w:szCs w:val="22"/>
              </w:rPr>
              <w:t xml:space="preserve"> b/c</w:t>
            </w:r>
            <w:r w:rsidRPr="00AF35A6">
              <w:rPr>
                <w:color w:val="000000"/>
                <w:sz w:val="22"/>
                <w:szCs w:val="22"/>
                <w:lang w:val="vi-VN"/>
              </w:rPr>
              <w:t>);</w:t>
            </w:r>
            <w:r w:rsidRPr="00AF35A6">
              <w:rPr>
                <w:color w:val="000000"/>
                <w:sz w:val="22"/>
                <w:szCs w:val="22"/>
                <w:lang w:val="vi-VN"/>
              </w:rPr>
              <w:br/>
              <w:t>- TT.Tỉnh ủy, TT.HĐND tỉnh, UBND</w:t>
            </w:r>
            <w:r>
              <w:rPr>
                <w:color w:val="000000"/>
                <w:sz w:val="22"/>
                <w:szCs w:val="22"/>
                <w:lang w:val="vi-VN"/>
              </w:rPr>
              <w:t xml:space="preserve"> t</w:t>
            </w:r>
            <w:r w:rsidRPr="00057AF4">
              <w:rPr>
                <w:color w:val="000000"/>
                <w:sz w:val="22"/>
                <w:szCs w:val="22"/>
                <w:lang w:val="vi-VN"/>
              </w:rPr>
              <w:t>ỉnh</w:t>
            </w:r>
            <w:r>
              <w:rPr>
                <w:color w:val="000000"/>
                <w:sz w:val="22"/>
                <w:szCs w:val="22"/>
                <w:lang w:val="vi-VN"/>
              </w:rPr>
              <w:t xml:space="preserve">, </w:t>
            </w:r>
            <w:r w:rsidRPr="00AF35A6">
              <w:rPr>
                <w:color w:val="000000"/>
                <w:sz w:val="22"/>
                <w:szCs w:val="22"/>
              </w:rPr>
              <w:t>U</w:t>
            </w:r>
            <w:r w:rsidRPr="00AF35A6">
              <w:rPr>
                <w:color w:val="000000"/>
                <w:sz w:val="22"/>
                <w:szCs w:val="22"/>
                <w:lang w:val="vi-VN"/>
              </w:rPr>
              <w:t>BMTTQVN tỉnh;</w:t>
            </w:r>
            <w:r w:rsidRPr="00AF35A6">
              <w:rPr>
                <w:color w:val="000000"/>
                <w:sz w:val="22"/>
                <w:szCs w:val="22"/>
                <w:lang w:val="vi-VN"/>
              </w:rPr>
              <w:br/>
              <w:t>- Đoàn ĐBQH tỉnh;</w:t>
            </w:r>
            <w:r w:rsidRPr="00AF35A6">
              <w:rPr>
                <w:color w:val="000000"/>
                <w:sz w:val="22"/>
                <w:szCs w:val="22"/>
                <w:lang w:val="vi-VN"/>
              </w:rPr>
              <w:br/>
              <w:t>- Các Ban, Tổ đại biểu, Đại biểu HĐND tỉnh;</w:t>
            </w:r>
          </w:p>
          <w:p w14:paraId="0FEED17D" w14:textId="2DC25469" w:rsidR="00E80360" w:rsidRPr="00242A38" w:rsidRDefault="00E80360" w:rsidP="00CA14DC">
            <w:pPr>
              <w:autoSpaceDE w:val="0"/>
              <w:autoSpaceDN w:val="0"/>
              <w:adjustRightInd w:val="0"/>
              <w:rPr>
                <w:sz w:val="22"/>
                <w:szCs w:val="22"/>
              </w:rPr>
            </w:pPr>
            <w:r w:rsidRPr="00AF35A6">
              <w:rPr>
                <w:color w:val="000000"/>
                <w:sz w:val="22"/>
                <w:szCs w:val="22"/>
                <w:shd w:val="clear" w:color="auto" w:fill="FFFFFF"/>
              </w:rPr>
              <w:t>- Tòa án nhân dân tỉnh, Viện Kiểm sát nhân dân tỉnh, Cục Thi hành án dân sự tỉnh;</w:t>
            </w:r>
            <w:r w:rsidRPr="00AF35A6">
              <w:rPr>
                <w:color w:val="000000"/>
                <w:sz w:val="22"/>
                <w:szCs w:val="22"/>
                <w:lang w:val="vi-VN"/>
              </w:rPr>
              <w:br/>
              <w:t xml:space="preserve">- Các Sở, ban, ngành, đoàn thể cấp </w:t>
            </w:r>
            <w:r w:rsidR="00CA14DC">
              <w:rPr>
                <w:color w:val="000000"/>
                <w:sz w:val="22"/>
                <w:szCs w:val="22"/>
                <w:lang w:val="vi-VN"/>
              </w:rPr>
              <w:t>tỉnh;</w:t>
            </w:r>
            <w:r w:rsidR="00CA14DC">
              <w:rPr>
                <w:color w:val="000000"/>
                <w:sz w:val="22"/>
                <w:szCs w:val="22"/>
                <w:lang w:val="vi-VN"/>
              </w:rPr>
              <w:br/>
              <w:t>- HĐND, UBND các huyện</w:t>
            </w:r>
            <w:r w:rsidRPr="00AF35A6">
              <w:rPr>
                <w:color w:val="000000"/>
                <w:sz w:val="22"/>
                <w:szCs w:val="22"/>
                <w:lang w:val="vi-VN"/>
              </w:rPr>
              <w:t>, thị xã</w:t>
            </w:r>
            <w:r w:rsidR="00CA14DC">
              <w:rPr>
                <w:color w:val="000000"/>
                <w:sz w:val="22"/>
                <w:szCs w:val="22"/>
              </w:rPr>
              <w:t xml:space="preserve">, </w:t>
            </w:r>
            <w:r w:rsidR="00CA14DC" w:rsidRPr="00AF35A6">
              <w:rPr>
                <w:color w:val="000000"/>
                <w:sz w:val="22"/>
                <w:szCs w:val="22"/>
                <w:lang w:val="vi-VN"/>
              </w:rPr>
              <w:t>thành phố</w:t>
            </w:r>
            <w:r w:rsidRPr="00AF35A6">
              <w:rPr>
                <w:color w:val="000000"/>
                <w:sz w:val="22"/>
                <w:szCs w:val="22"/>
                <w:lang w:val="vi-VN"/>
              </w:rPr>
              <w:t>;</w:t>
            </w:r>
            <w:r w:rsidRPr="00AF35A6">
              <w:rPr>
                <w:color w:val="000000"/>
                <w:sz w:val="22"/>
                <w:szCs w:val="22"/>
                <w:lang w:val="vi-VN"/>
              </w:rPr>
              <w:br/>
              <w:t>-</w:t>
            </w:r>
            <w:r w:rsidR="0066656E">
              <w:rPr>
                <w:color w:val="000000"/>
                <w:sz w:val="22"/>
                <w:szCs w:val="22"/>
              </w:rPr>
              <w:t xml:space="preserve"> </w:t>
            </w:r>
            <w:r w:rsidR="00933163">
              <w:rPr>
                <w:color w:val="000000"/>
                <w:sz w:val="22"/>
                <w:szCs w:val="22"/>
                <w:lang w:val="vi-VN"/>
              </w:rPr>
              <w:t>Trung tâm Công báo tỉnh;</w:t>
            </w:r>
            <w:r w:rsidRPr="00AF35A6">
              <w:rPr>
                <w:color w:val="000000"/>
                <w:sz w:val="22"/>
                <w:szCs w:val="22"/>
                <w:lang w:val="vi-VN"/>
              </w:rPr>
              <w:br/>
              <w:t>- Lưu: VT</w:t>
            </w:r>
            <w:r w:rsidRPr="00AF35A6">
              <w:rPr>
                <w:color w:val="000000"/>
                <w:sz w:val="22"/>
                <w:szCs w:val="22"/>
              </w:rPr>
              <w:t>.</w:t>
            </w:r>
          </w:p>
        </w:tc>
        <w:tc>
          <w:tcPr>
            <w:tcW w:w="4924" w:type="dxa"/>
            <w:shd w:val="clear" w:color="auto" w:fill="FFFFFF"/>
          </w:tcPr>
          <w:p w14:paraId="029BA192" w14:textId="77777777" w:rsidR="00E80360" w:rsidRPr="00AF35A6" w:rsidRDefault="00E80360" w:rsidP="00E80360">
            <w:pPr>
              <w:pStyle w:val="NormalWeb"/>
              <w:spacing w:before="120" w:beforeAutospacing="0" w:after="120" w:afterAutospacing="0" w:line="234" w:lineRule="atLeast"/>
              <w:jc w:val="center"/>
              <w:rPr>
                <w:b/>
                <w:bCs/>
                <w:color w:val="000000"/>
                <w:sz w:val="28"/>
                <w:szCs w:val="28"/>
              </w:rPr>
            </w:pPr>
            <w:r w:rsidRPr="00AF35A6">
              <w:rPr>
                <w:b/>
                <w:bCs/>
                <w:color w:val="000000"/>
                <w:sz w:val="28"/>
                <w:szCs w:val="28"/>
              </w:rPr>
              <w:t>CHỦ TỊCH</w:t>
            </w:r>
          </w:p>
          <w:p w14:paraId="279209A6" w14:textId="77777777" w:rsidR="00E80360" w:rsidRPr="00AF35A6" w:rsidRDefault="00E80360" w:rsidP="00E80360">
            <w:pPr>
              <w:pStyle w:val="NormalWeb"/>
              <w:spacing w:before="120" w:beforeAutospacing="0" w:after="120" w:afterAutospacing="0" w:line="234" w:lineRule="atLeast"/>
              <w:jc w:val="center"/>
              <w:rPr>
                <w:b/>
                <w:bCs/>
                <w:color w:val="000000"/>
                <w:sz w:val="28"/>
                <w:szCs w:val="28"/>
              </w:rPr>
            </w:pPr>
          </w:p>
          <w:p w14:paraId="2888F435" w14:textId="77777777" w:rsidR="00E80360" w:rsidRPr="00AF35A6" w:rsidRDefault="00E80360" w:rsidP="00E80360">
            <w:pPr>
              <w:pStyle w:val="NormalWeb"/>
              <w:spacing w:before="120" w:beforeAutospacing="0" w:after="120" w:afterAutospacing="0" w:line="234" w:lineRule="atLeast"/>
              <w:jc w:val="center"/>
              <w:rPr>
                <w:b/>
                <w:bCs/>
                <w:color w:val="000000"/>
                <w:sz w:val="28"/>
                <w:szCs w:val="28"/>
              </w:rPr>
            </w:pPr>
          </w:p>
          <w:p w14:paraId="290D6A00" w14:textId="77777777" w:rsidR="00E80360" w:rsidRPr="00AF35A6" w:rsidRDefault="00E80360" w:rsidP="00E80360">
            <w:pPr>
              <w:pStyle w:val="NormalWeb"/>
              <w:spacing w:before="120" w:beforeAutospacing="0" w:after="120" w:afterAutospacing="0" w:line="234" w:lineRule="atLeast"/>
              <w:jc w:val="center"/>
              <w:rPr>
                <w:b/>
                <w:bCs/>
                <w:color w:val="000000"/>
                <w:sz w:val="28"/>
                <w:szCs w:val="28"/>
              </w:rPr>
            </w:pPr>
          </w:p>
          <w:p w14:paraId="02A84630" w14:textId="77777777" w:rsidR="00E80360" w:rsidRPr="00AF35A6" w:rsidRDefault="00E80360" w:rsidP="00E80360">
            <w:pPr>
              <w:pStyle w:val="NormalWeb"/>
              <w:spacing w:before="120" w:beforeAutospacing="0" w:after="120" w:afterAutospacing="0" w:line="234" w:lineRule="atLeast"/>
              <w:jc w:val="center"/>
              <w:rPr>
                <w:b/>
                <w:bCs/>
                <w:color w:val="000000"/>
                <w:sz w:val="28"/>
                <w:szCs w:val="28"/>
              </w:rPr>
            </w:pPr>
          </w:p>
          <w:p w14:paraId="0C995E28" w14:textId="77777777" w:rsidR="00E80360" w:rsidRPr="00AF35A6" w:rsidRDefault="00E80360" w:rsidP="00E80360">
            <w:pPr>
              <w:pStyle w:val="NormalWeb"/>
              <w:spacing w:before="120" w:beforeAutospacing="0" w:after="120" w:afterAutospacing="0" w:line="234" w:lineRule="atLeast"/>
              <w:jc w:val="center"/>
              <w:rPr>
                <w:b/>
                <w:bCs/>
                <w:color w:val="000000"/>
                <w:sz w:val="28"/>
                <w:szCs w:val="28"/>
              </w:rPr>
            </w:pPr>
          </w:p>
          <w:p w14:paraId="360DA72A" w14:textId="26237D07" w:rsidR="00E80360" w:rsidRPr="00375158" w:rsidRDefault="00E80360" w:rsidP="00E80360">
            <w:pPr>
              <w:spacing w:before="120" w:after="120"/>
              <w:jc w:val="center"/>
              <w:rPr>
                <w:sz w:val="24"/>
                <w:szCs w:val="24"/>
              </w:rPr>
            </w:pPr>
          </w:p>
        </w:tc>
      </w:tr>
    </w:tbl>
    <w:p w14:paraId="64D9D406" w14:textId="77777777" w:rsidR="00B212CF" w:rsidRPr="002E57BE" w:rsidRDefault="00B212CF" w:rsidP="002E3A0C">
      <w:pPr>
        <w:spacing w:before="120" w:after="120"/>
        <w:rPr>
          <w:lang w:val="nl-NL"/>
        </w:rPr>
      </w:pPr>
    </w:p>
    <w:sectPr w:rsidR="00B212CF" w:rsidRPr="002E57BE" w:rsidSect="00883EC6">
      <w:headerReference w:type="default" r:id="rId7"/>
      <w:footerReference w:type="even" r:id="rId8"/>
      <w:footerReference w:type="default" r:id="rId9"/>
      <w:pgSz w:w="11907" w:h="16840" w:code="9"/>
      <w:pgMar w:top="1134" w:right="1134" w:bottom="1134" w:left="170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37811" w14:textId="77777777" w:rsidR="006620A7" w:rsidRDefault="006620A7">
      <w:r>
        <w:separator/>
      </w:r>
    </w:p>
  </w:endnote>
  <w:endnote w:type="continuationSeparator" w:id="0">
    <w:p w14:paraId="5D709D53" w14:textId="77777777" w:rsidR="006620A7" w:rsidRDefault="0066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D334B" w14:textId="77777777" w:rsidR="00A951F2" w:rsidRDefault="00E005E5" w:rsidP="00A951F2">
    <w:pPr>
      <w:pStyle w:val="Footer"/>
      <w:framePr w:wrap="around" w:vAnchor="text" w:hAnchor="margin" w:xAlign="right" w:y="1"/>
      <w:rPr>
        <w:rStyle w:val="PageNumber"/>
      </w:rPr>
    </w:pPr>
    <w:r>
      <w:rPr>
        <w:rStyle w:val="PageNumber"/>
      </w:rPr>
      <w:fldChar w:fldCharType="begin"/>
    </w:r>
    <w:r w:rsidR="00A951F2">
      <w:rPr>
        <w:rStyle w:val="PageNumber"/>
      </w:rPr>
      <w:instrText xml:space="preserve">PAGE  </w:instrText>
    </w:r>
    <w:r>
      <w:rPr>
        <w:rStyle w:val="PageNumber"/>
      </w:rPr>
      <w:fldChar w:fldCharType="end"/>
    </w:r>
  </w:p>
  <w:p w14:paraId="1265AECC" w14:textId="77777777" w:rsidR="00A951F2" w:rsidRDefault="00A951F2" w:rsidP="00A951F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27C4" w14:textId="77777777" w:rsidR="00A951F2" w:rsidRPr="00CF75EF" w:rsidRDefault="00A951F2" w:rsidP="00A951F2">
    <w:pPr>
      <w:pStyle w:val="Footer"/>
      <w:ind w:right="360" w:firstLine="360"/>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BD92B" w14:textId="77777777" w:rsidR="006620A7" w:rsidRDefault="006620A7">
      <w:r>
        <w:separator/>
      </w:r>
    </w:p>
  </w:footnote>
  <w:footnote w:type="continuationSeparator" w:id="0">
    <w:p w14:paraId="0117EFDC" w14:textId="77777777" w:rsidR="006620A7" w:rsidRDefault="00662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196205"/>
      <w:docPartObj>
        <w:docPartGallery w:val="Page Numbers (Top of Page)"/>
        <w:docPartUnique/>
      </w:docPartObj>
    </w:sdtPr>
    <w:sdtEndPr>
      <w:rPr>
        <w:noProof/>
      </w:rPr>
    </w:sdtEndPr>
    <w:sdtContent>
      <w:p w14:paraId="70C91AC0" w14:textId="40152E66" w:rsidR="00074B38" w:rsidRDefault="00074B38">
        <w:pPr>
          <w:pStyle w:val="Header"/>
          <w:jc w:val="center"/>
        </w:pPr>
        <w:r>
          <w:fldChar w:fldCharType="begin"/>
        </w:r>
        <w:r>
          <w:instrText xml:space="preserve"> PAGE   \* MERGEFORMAT </w:instrText>
        </w:r>
        <w:r>
          <w:fldChar w:fldCharType="separate"/>
        </w:r>
        <w:r w:rsidR="00D945F2">
          <w:rPr>
            <w:noProof/>
          </w:rPr>
          <w:t>3</w:t>
        </w:r>
        <w:r>
          <w:rPr>
            <w:noProof/>
          </w:rPr>
          <w:fldChar w:fldCharType="end"/>
        </w:r>
      </w:p>
    </w:sdtContent>
  </w:sdt>
  <w:p w14:paraId="6E143C39" w14:textId="77777777" w:rsidR="00074B38" w:rsidRDefault="0007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CF"/>
    <w:rsid w:val="000002B5"/>
    <w:rsid w:val="000021AD"/>
    <w:rsid w:val="00002A19"/>
    <w:rsid w:val="0001642C"/>
    <w:rsid w:val="0002020B"/>
    <w:rsid w:val="000356F2"/>
    <w:rsid w:val="00037AF7"/>
    <w:rsid w:val="00042F5C"/>
    <w:rsid w:val="00044E25"/>
    <w:rsid w:val="00053A71"/>
    <w:rsid w:val="00061D03"/>
    <w:rsid w:val="0006290B"/>
    <w:rsid w:val="0007272A"/>
    <w:rsid w:val="00072EED"/>
    <w:rsid w:val="0007404F"/>
    <w:rsid w:val="00074B38"/>
    <w:rsid w:val="00085C4D"/>
    <w:rsid w:val="000911B8"/>
    <w:rsid w:val="00092D83"/>
    <w:rsid w:val="00094751"/>
    <w:rsid w:val="000A00F1"/>
    <w:rsid w:val="000A61D6"/>
    <w:rsid w:val="000A71BD"/>
    <w:rsid w:val="000A7C4C"/>
    <w:rsid w:val="000B26A9"/>
    <w:rsid w:val="000B5EAF"/>
    <w:rsid w:val="000C1381"/>
    <w:rsid w:val="000C7897"/>
    <w:rsid w:val="000C79BF"/>
    <w:rsid w:val="000E2CBD"/>
    <w:rsid w:val="000E4513"/>
    <w:rsid w:val="000F2538"/>
    <w:rsid w:val="0010005C"/>
    <w:rsid w:val="00102682"/>
    <w:rsid w:val="001076D3"/>
    <w:rsid w:val="00126FA7"/>
    <w:rsid w:val="001331D5"/>
    <w:rsid w:val="00134725"/>
    <w:rsid w:val="00136484"/>
    <w:rsid w:val="001848FC"/>
    <w:rsid w:val="00195D0E"/>
    <w:rsid w:val="001B3EE0"/>
    <w:rsid w:val="001B4E21"/>
    <w:rsid w:val="001D181A"/>
    <w:rsid w:val="001F6315"/>
    <w:rsid w:val="00203720"/>
    <w:rsid w:val="00211880"/>
    <w:rsid w:val="0021560B"/>
    <w:rsid w:val="0022020C"/>
    <w:rsid w:val="00232D69"/>
    <w:rsid w:val="00237EC3"/>
    <w:rsid w:val="00242A38"/>
    <w:rsid w:val="0024676D"/>
    <w:rsid w:val="002472CC"/>
    <w:rsid w:val="00267570"/>
    <w:rsid w:val="00291696"/>
    <w:rsid w:val="00294A78"/>
    <w:rsid w:val="002A4971"/>
    <w:rsid w:val="002B6582"/>
    <w:rsid w:val="002E3A0C"/>
    <w:rsid w:val="002E57BE"/>
    <w:rsid w:val="002F0001"/>
    <w:rsid w:val="002F3D67"/>
    <w:rsid w:val="002F58D8"/>
    <w:rsid w:val="003020ED"/>
    <w:rsid w:val="003316CD"/>
    <w:rsid w:val="0033293D"/>
    <w:rsid w:val="003367A6"/>
    <w:rsid w:val="0034536C"/>
    <w:rsid w:val="00356DA8"/>
    <w:rsid w:val="003669D0"/>
    <w:rsid w:val="00381EEC"/>
    <w:rsid w:val="00383AF4"/>
    <w:rsid w:val="003852E5"/>
    <w:rsid w:val="00387969"/>
    <w:rsid w:val="003940FE"/>
    <w:rsid w:val="0039562E"/>
    <w:rsid w:val="003A01E3"/>
    <w:rsid w:val="003A336E"/>
    <w:rsid w:val="003A4697"/>
    <w:rsid w:val="003A7A5A"/>
    <w:rsid w:val="003B1563"/>
    <w:rsid w:val="003D32BE"/>
    <w:rsid w:val="003F0692"/>
    <w:rsid w:val="003F40BD"/>
    <w:rsid w:val="003F459F"/>
    <w:rsid w:val="00402A07"/>
    <w:rsid w:val="004110C0"/>
    <w:rsid w:val="00411397"/>
    <w:rsid w:val="00413415"/>
    <w:rsid w:val="0042794A"/>
    <w:rsid w:val="00431262"/>
    <w:rsid w:val="004370AB"/>
    <w:rsid w:val="004429AE"/>
    <w:rsid w:val="00443118"/>
    <w:rsid w:val="004552FD"/>
    <w:rsid w:val="00460649"/>
    <w:rsid w:val="004703B0"/>
    <w:rsid w:val="00496A9B"/>
    <w:rsid w:val="004A51C7"/>
    <w:rsid w:val="004B1A67"/>
    <w:rsid w:val="004B7B8A"/>
    <w:rsid w:val="004D0212"/>
    <w:rsid w:val="004D62B0"/>
    <w:rsid w:val="004F62EE"/>
    <w:rsid w:val="005134A8"/>
    <w:rsid w:val="00515F55"/>
    <w:rsid w:val="005239AC"/>
    <w:rsid w:val="00556ABD"/>
    <w:rsid w:val="00563FAD"/>
    <w:rsid w:val="00593CCD"/>
    <w:rsid w:val="005A3FC6"/>
    <w:rsid w:val="005A7373"/>
    <w:rsid w:val="005A7D27"/>
    <w:rsid w:val="005B7D50"/>
    <w:rsid w:val="005C54BE"/>
    <w:rsid w:val="005F0578"/>
    <w:rsid w:val="00605626"/>
    <w:rsid w:val="006229DC"/>
    <w:rsid w:val="00627539"/>
    <w:rsid w:val="006408F2"/>
    <w:rsid w:val="006511C8"/>
    <w:rsid w:val="00661A0E"/>
    <w:rsid w:val="006620A7"/>
    <w:rsid w:val="00663935"/>
    <w:rsid w:val="0066656E"/>
    <w:rsid w:val="00673FD1"/>
    <w:rsid w:val="00676941"/>
    <w:rsid w:val="00680BE3"/>
    <w:rsid w:val="006823C8"/>
    <w:rsid w:val="006A4442"/>
    <w:rsid w:val="006B68A5"/>
    <w:rsid w:val="006C2DD1"/>
    <w:rsid w:val="006C5890"/>
    <w:rsid w:val="006C5EA4"/>
    <w:rsid w:val="006D39EF"/>
    <w:rsid w:val="006D57FA"/>
    <w:rsid w:val="006E135A"/>
    <w:rsid w:val="006E2754"/>
    <w:rsid w:val="006F3999"/>
    <w:rsid w:val="006F4DCE"/>
    <w:rsid w:val="00713C50"/>
    <w:rsid w:val="00716CB8"/>
    <w:rsid w:val="007276D4"/>
    <w:rsid w:val="0073412C"/>
    <w:rsid w:val="00742D5C"/>
    <w:rsid w:val="007472CB"/>
    <w:rsid w:val="007517A5"/>
    <w:rsid w:val="0075625D"/>
    <w:rsid w:val="00764873"/>
    <w:rsid w:val="007A1835"/>
    <w:rsid w:val="007B0F23"/>
    <w:rsid w:val="007B1CB8"/>
    <w:rsid w:val="007D6C35"/>
    <w:rsid w:val="007E0BCA"/>
    <w:rsid w:val="007E42A6"/>
    <w:rsid w:val="007E746A"/>
    <w:rsid w:val="007F2A0D"/>
    <w:rsid w:val="00803C05"/>
    <w:rsid w:val="00812C18"/>
    <w:rsid w:val="00814018"/>
    <w:rsid w:val="0082109C"/>
    <w:rsid w:val="0082382A"/>
    <w:rsid w:val="00851638"/>
    <w:rsid w:val="00861165"/>
    <w:rsid w:val="00862B16"/>
    <w:rsid w:val="00883045"/>
    <w:rsid w:val="00883EC6"/>
    <w:rsid w:val="00893BB2"/>
    <w:rsid w:val="00896D4D"/>
    <w:rsid w:val="008A0813"/>
    <w:rsid w:val="008A5537"/>
    <w:rsid w:val="008A5BAC"/>
    <w:rsid w:val="008C1D93"/>
    <w:rsid w:val="008D042D"/>
    <w:rsid w:val="008D0466"/>
    <w:rsid w:val="008E4685"/>
    <w:rsid w:val="008E77AA"/>
    <w:rsid w:val="008F18B6"/>
    <w:rsid w:val="008F4DC8"/>
    <w:rsid w:val="008F5513"/>
    <w:rsid w:val="009148FC"/>
    <w:rsid w:val="00916CA2"/>
    <w:rsid w:val="00917CBD"/>
    <w:rsid w:val="009202D9"/>
    <w:rsid w:val="00921EFF"/>
    <w:rsid w:val="00933163"/>
    <w:rsid w:val="00933458"/>
    <w:rsid w:val="00952F4E"/>
    <w:rsid w:val="00963190"/>
    <w:rsid w:val="00974B61"/>
    <w:rsid w:val="00980F2B"/>
    <w:rsid w:val="00981A93"/>
    <w:rsid w:val="00984346"/>
    <w:rsid w:val="009901AF"/>
    <w:rsid w:val="009955DD"/>
    <w:rsid w:val="00997358"/>
    <w:rsid w:val="009A7CC9"/>
    <w:rsid w:val="009B3206"/>
    <w:rsid w:val="009B7054"/>
    <w:rsid w:val="009E60A3"/>
    <w:rsid w:val="009F43E2"/>
    <w:rsid w:val="009F4768"/>
    <w:rsid w:val="00A02FF9"/>
    <w:rsid w:val="00A03CC4"/>
    <w:rsid w:val="00A04184"/>
    <w:rsid w:val="00A1581D"/>
    <w:rsid w:val="00A2156E"/>
    <w:rsid w:val="00A34892"/>
    <w:rsid w:val="00A374C0"/>
    <w:rsid w:val="00A46F43"/>
    <w:rsid w:val="00A530B4"/>
    <w:rsid w:val="00A723E4"/>
    <w:rsid w:val="00A76AA2"/>
    <w:rsid w:val="00A81727"/>
    <w:rsid w:val="00A875DF"/>
    <w:rsid w:val="00A951F2"/>
    <w:rsid w:val="00AA06AD"/>
    <w:rsid w:val="00AB1443"/>
    <w:rsid w:val="00AB17D8"/>
    <w:rsid w:val="00AB3F50"/>
    <w:rsid w:val="00AC1B6D"/>
    <w:rsid w:val="00AE25F2"/>
    <w:rsid w:val="00AE7CF4"/>
    <w:rsid w:val="00AF0904"/>
    <w:rsid w:val="00AF4A72"/>
    <w:rsid w:val="00B0505B"/>
    <w:rsid w:val="00B155EA"/>
    <w:rsid w:val="00B20E82"/>
    <w:rsid w:val="00B212CF"/>
    <w:rsid w:val="00B40A84"/>
    <w:rsid w:val="00B50222"/>
    <w:rsid w:val="00B55F88"/>
    <w:rsid w:val="00B61F20"/>
    <w:rsid w:val="00B65563"/>
    <w:rsid w:val="00B67DCD"/>
    <w:rsid w:val="00B80D2D"/>
    <w:rsid w:val="00B86E1B"/>
    <w:rsid w:val="00B918AF"/>
    <w:rsid w:val="00BB4889"/>
    <w:rsid w:val="00BC1ABD"/>
    <w:rsid w:val="00BE33BA"/>
    <w:rsid w:val="00C050FB"/>
    <w:rsid w:val="00C07294"/>
    <w:rsid w:val="00C24E4F"/>
    <w:rsid w:val="00C3024F"/>
    <w:rsid w:val="00C47B29"/>
    <w:rsid w:val="00C6076F"/>
    <w:rsid w:val="00C66A98"/>
    <w:rsid w:val="00C67002"/>
    <w:rsid w:val="00C73CFF"/>
    <w:rsid w:val="00C816AB"/>
    <w:rsid w:val="00C858A3"/>
    <w:rsid w:val="00C911E5"/>
    <w:rsid w:val="00CA14DC"/>
    <w:rsid w:val="00CA6812"/>
    <w:rsid w:val="00CB09A5"/>
    <w:rsid w:val="00CB1C80"/>
    <w:rsid w:val="00CB4966"/>
    <w:rsid w:val="00CC0124"/>
    <w:rsid w:val="00CC5609"/>
    <w:rsid w:val="00CC5FC2"/>
    <w:rsid w:val="00CC7BD5"/>
    <w:rsid w:val="00CE40B5"/>
    <w:rsid w:val="00CE65FD"/>
    <w:rsid w:val="00CF2332"/>
    <w:rsid w:val="00CF50FD"/>
    <w:rsid w:val="00CF6A4D"/>
    <w:rsid w:val="00CF6B43"/>
    <w:rsid w:val="00D17CB9"/>
    <w:rsid w:val="00D52A1C"/>
    <w:rsid w:val="00D6023B"/>
    <w:rsid w:val="00D61ACD"/>
    <w:rsid w:val="00D67634"/>
    <w:rsid w:val="00D74814"/>
    <w:rsid w:val="00D7568B"/>
    <w:rsid w:val="00D7681A"/>
    <w:rsid w:val="00D8301E"/>
    <w:rsid w:val="00D86BE3"/>
    <w:rsid w:val="00D945F2"/>
    <w:rsid w:val="00DA5248"/>
    <w:rsid w:val="00DB05F7"/>
    <w:rsid w:val="00DB3CB1"/>
    <w:rsid w:val="00DE00EA"/>
    <w:rsid w:val="00DF1056"/>
    <w:rsid w:val="00DF2436"/>
    <w:rsid w:val="00DF6591"/>
    <w:rsid w:val="00DF73D0"/>
    <w:rsid w:val="00E005E5"/>
    <w:rsid w:val="00E01989"/>
    <w:rsid w:val="00E12CEB"/>
    <w:rsid w:val="00E50031"/>
    <w:rsid w:val="00E54E94"/>
    <w:rsid w:val="00E625F5"/>
    <w:rsid w:val="00E632B5"/>
    <w:rsid w:val="00E674A0"/>
    <w:rsid w:val="00E701D9"/>
    <w:rsid w:val="00E756D8"/>
    <w:rsid w:val="00E75D5E"/>
    <w:rsid w:val="00E80360"/>
    <w:rsid w:val="00E87DD4"/>
    <w:rsid w:val="00E9651A"/>
    <w:rsid w:val="00EA24AC"/>
    <w:rsid w:val="00EB456E"/>
    <w:rsid w:val="00EB7EDF"/>
    <w:rsid w:val="00EC08C1"/>
    <w:rsid w:val="00EC7257"/>
    <w:rsid w:val="00EE316B"/>
    <w:rsid w:val="00EF1483"/>
    <w:rsid w:val="00EF1CE2"/>
    <w:rsid w:val="00EF3631"/>
    <w:rsid w:val="00F05A4A"/>
    <w:rsid w:val="00F0775F"/>
    <w:rsid w:val="00F15A80"/>
    <w:rsid w:val="00F26FFE"/>
    <w:rsid w:val="00F379C9"/>
    <w:rsid w:val="00F5754A"/>
    <w:rsid w:val="00F60C7C"/>
    <w:rsid w:val="00F66321"/>
    <w:rsid w:val="00F667E4"/>
    <w:rsid w:val="00F73877"/>
    <w:rsid w:val="00F92274"/>
    <w:rsid w:val="00F947DF"/>
    <w:rsid w:val="00FA2C0A"/>
    <w:rsid w:val="00FA4979"/>
    <w:rsid w:val="00FC1DFF"/>
    <w:rsid w:val="00FD084E"/>
    <w:rsid w:val="00FD2AF9"/>
    <w:rsid w:val="00FF425D"/>
    <w:rsid w:val="00FF57A8"/>
    <w:rsid w:val="00FF5B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A2A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CF"/>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2CF"/>
    <w:pPr>
      <w:tabs>
        <w:tab w:val="center" w:pos="4320"/>
        <w:tab w:val="right" w:pos="8640"/>
      </w:tabs>
    </w:pPr>
  </w:style>
  <w:style w:type="character" w:customStyle="1" w:styleId="FooterChar">
    <w:name w:val="Footer Char"/>
    <w:basedOn w:val="DefaultParagraphFont"/>
    <w:link w:val="Footer"/>
    <w:uiPriority w:val="99"/>
    <w:rsid w:val="00B212CF"/>
    <w:rPr>
      <w:sz w:val="28"/>
      <w:szCs w:val="28"/>
      <w:lang w:val="en-US" w:eastAsia="en-US" w:bidi="ar-SA"/>
    </w:rPr>
  </w:style>
  <w:style w:type="character" w:styleId="PageNumber">
    <w:name w:val="page number"/>
    <w:basedOn w:val="DefaultParagraphFont"/>
    <w:rsid w:val="00B212CF"/>
  </w:style>
  <w:style w:type="paragraph" w:styleId="NormalWeb">
    <w:name w:val="Normal (Web)"/>
    <w:basedOn w:val="Normal"/>
    <w:uiPriority w:val="99"/>
    <w:rsid w:val="00B212CF"/>
    <w:pPr>
      <w:spacing w:before="100" w:beforeAutospacing="1" w:after="100" w:afterAutospacing="1"/>
    </w:pPr>
    <w:rPr>
      <w:sz w:val="24"/>
      <w:szCs w:val="24"/>
    </w:rPr>
  </w:style>
  <w:style w:type="paragraph" w:customStyle="1" w:styleId="Char">
    <w:name w:val="Char"/>
    <w:basedOn w:val="Normal"/>
    <w:rsid w:val="00443118"/>
    <w:pPr>
      <w:pageBreakBefore/>
      <w:spacing w:before="100" w:beforeAutospacing="1" w:after="100" w:afterAutospacing="1"/>
    </w:pPr>
    <w:rPr>
      <w:rFonts w:ascii="Tahoma" w:hAnsi="Tahoma" w:cs="Tahoma"/>
      <w:sz w:val="20"/>
      <w:szCs w:val="20"/>
    </w:rPr>
  </w:style>
  <w:style w:type="paragraph" w:styleId="BodyText">
    <w:name w:val="Body Text"/>
    <w:basedOn w:val="Normal"/>
    <w:rsid w:val="00443118"/>
    <w:pPr>
      <w:spacing w:line="480" w:lineRule="exact"/>
      <w:jc w:val="center"/>
    </w:pPr>
    <w:rPr>
      <w:rFonts w:ascii=".VnTime" w:hAnsi=".VnTime"/>
      <w:b/>
      <w:i/>
      <w:szCs w:val="20"/>
    </w:rPr>
  </w:style>
  <w:style w:type="paragraph" w:customStyle="1" w:styleId="CharCharCharCharCharCharChar">
    <w:name w:val="Char Char Char Char Char Char Char"/>
    <w:basedOn w:val="Normal"/>
    <w:rsid w:val="00443118"/>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0">
    <w:name w:val="Char"/>
    <w:basedOn w:val="Normal"/>
    <w:rsid w:val="00980F2B"/>
    <w:pPr>
      <w:spacing w:after="160" w:line="240" w:lineRule="exact"/>
    </w:pPr>
    <w:rPr>
      <w:rFonts w:ascii="Verdana" w:hAnsi="Verdana"/>
      <w:sz w:val="20"/>
      <w:szCs w:val="20"/>
    </w:rPr>
  </w:style>
  <w:style w:type="paragraph" w:styleId="Header">
    <w:name w:val="header"/>
    <w:basedOn w:val="Normal"/>
    <w:link w:val="HeaderChar"/>
    <w:uiPriority w:val="99"/>
    <w:rsid w:val="002E57B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074B38"/>
    <w:rPr>
      <w:rFonts w:ascii=".VnTime" w:hAnsi=".VnTime"/>
      <w:sz w:val="28"/>
      <w:szCs w:val="24"/>
      <w:lang w:val="en-US" w:eastAsia="en-US"/>
    </w:rPr>
  </w:style>
  <w:style w:type="paragraph" w:styleId="BalloonText">
    <w:name w:val="Balloon Text"/>
    <w:basedOn w:val="Normal"/>
    <w:link w:val="BalloonTextChar"/>
    <w:semiHidden/>
    <w:unhideWhenUsed/>
    <w:rsid w:val="003367A6"/>
    <w:rPr>
      <w:rFonts w:ascii="Segoe UI" w:hAnsi="Segoe UI" w:cs="Segoe UI"/>
      <w:sz w:val="18"/>
      <w:szCs w:val="18"/>
    </w:rPr>
  </w:style>
  <w:style w:type="character" w:customStyle="1" w:styleId="BalloonTextChar">
    <w:name w:val="Balloon Text Char"/>
    <w:basedOn w:val="DefaultParagraphFont"/>
    <w:link w:val="BalloonText"/>
    <w:semiHidden/>
    <w:rsid w:val="003367A6"/>
    <w:rPr>
      <w:rFonts w:ascii="Segoe UI" w:hAnsi="Segoe UI" w:cs="Segoe UI"/>
      <w:sz w:val="18"/>
      <w:szCs w:val="18"/>
      <w:lang w:val="en-US" w:eastAsia="en-US"/>
    </w:rPr>
  </w:style>
  <w:style w:type="paragraph" w:styleId="ListParagraph">
    <w:name w:val="List Paragraph"/>
    <w:basedOn w:val="Normal"/>
    <w:uiPriority w:val="34"/>
    <w:qFormat/>
    <w:rsid w:val="00E12CEB"/>
    <w:pPr>
      <w:ind w:left="720"/>
      <w:contextualSpacing/>
    </w:pPr>
  </w:style>
  <w:style w:type="character" w:styleId="Hyperlink">
    <w:name w:val="Hyperlink"/>
    <w:basedOn w:val="DefaultParagraphFont"/>
    <w:uiPriority w:val="99"/>
    <w:semiHidden/>
    <w:unhideWhenUsed/>
    <w:rsid w:val="004703B0"/>
    <w:rPr>
      <w:color w:val="0000FF"/>
      <w:u w:val="single"/>
    </w:rPr>
  </w:style>
  <w:style w:type="paragraph" w:styleId="BodyText2">
    <w:name w:val="Body Text 2"/>
    <w:basedOn w:val="Normal"/>
    <w:link w:val="BodyText2Char"/>
    <w:semiHidden/>
    <w:unhideWhenUsed/>
    <w:rsid w:val="00A723E4"/>
    <w:pPr>
      <w:spacing w:after="120" w:line="480" w:lineRule="auto"/>
    </w:pPr>
  </w:style>
  <w:style w:type="character" w:customStyle="1" w:styleId="BodyText2Char">
    <w:name w:val="Body Text 2 Char"/>
    <w:basedOn w:val="DefaultParagraphFont"/>
    <w:link w:val="BodyText2"/>
    <w:semiHidden/>
    <w:rsid w:val="00A723E4"/>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CF"/>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2CF"/>
    <w:pPr>
      <w:tabs>
        <w:tab w:val="center" w:pos="4320"/>
        <w:tab w:val="right" w:pos="8640"/>
      </w:tabs>
    </w:pPr>
  </w:style>
  <w:style w:type="character" w:customStyle="1" w:styleId="FooterChar">
    <w:name w:val="Footer Char"/>
    <w:basedOn w:val="DefaultParagraphFont"/>
    <w:link w:val="Footer"/>
    <w:uiPriority w:val="99"/>
    <w:rsid w:val="00B212CF"/>
    <w:rPr>
      <w:sz w:val="28"/>
      <w:szCs w:val="28"/>
      <w:lang w:val="en-US" w:eastAsia="en-US" w:bidi="ar-SA"/>
    </w:rPr>
  </w:style>
  <w:style w:type="character" w:styleId="PageNumber">
    <w:name w:val="page number"/>
    <w:basedOn w:val="DefaultParagraphFont"/>
    <w:rsid w:val="00B212CF"/>
  </w:style>
  <w:style w:type="paragraph" w:styleId="NormalWeb">
    <w:name w:val="Normal (Web)"/>
    <w:basedOn w:val="Normal"/>
    <w:uiPriority w:val="99"/>
    <w:rsid w:val="00B212CF"/>
    <w:pPr>
      <w:spacing w:before="100" w:beforeAutospacing="1" w:after="100" w:afterAutospacing="1"/>
    </w:pPr>
    <w:rPr>
      <w:sz w:val="24"/>
      <w:szCs w:val="24"/>
    </w:rPr>
  </w:style>
  <w:style w:type="paragraph" w:customStyle="1" w:styleId="Char">
    <w:name w:val="Char"/>
    <w:basedOn w:val="Normal"/>
    <w:rsid w:val="00443118"/>
    <w:pPr>
      <w:pageBreakBefore/>
      <w:spacing w:before="100" w:beforeAutospacing="1" w:after="100" w:afterAutospacing="1"/>
    </w:pPr>
    <w:rPr>
      <w:rFonts w:ascii="Tahoma" w:hAnsi="Tahoma" w:cs="Tahoma"/>
      <w:sz w:val="20"/>
      <w:szCs w:val="20"/>
    </w:rPr>
  </w:style>
  <w:style w:type="paragraph" w:styleId="BodyText">
    <w:name w:val="Body Text"/>
    <w:basedOn w:val="Normal"/>
    <w:rsid w:val="00443118"/>
    <w:pPr>
      <w:spacing w:line="480" w:lineRule="exact"/>
      <w:jc w:val="center"/>
    </w:pPr>
    <w:rPr>
      <w:rFonts w:ascii=".VnTime" w:hAnsi=".VnTime"/>
      <w:b/>
      <w:i/>
      <w:szCs w:val="20"/>
    </w:rPr>
  </w:style>
  <w:style w:type="paragraph" w:customStyle="1" w:styleId="CharCharCharCharCharCharChar">
    <w:name w:val="Char Char Char Char Char Char Char"/>
    <w:basedOn w:val="Normal"/>
    <w:rsid w:val="00443118"/>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0">
    <w:name w:val="Char"/>
    <w:basedOn w:val="Normal"/>
    <w:rsid w:val="00980F2B"/>
    <w:pPr>
      <w:spacing w:after="160" w:line="240" w:lineRule="exact"/>
    </w:pPr>
    <w:rPr>
      <w:rFonts w:ascii="Verdana" w:hAnsi="Verdana"/>
      <w:sz w:val="20"/>
      <w:szCs w:val="20"/>
    </w:rPr>
  </w:style>
  <w:style w:type="paragraph" w:styleId="Header">
    <w:name w:val="header"/>
    <w:basedOn w:val="Normal"/>
    <w:link w:val="HeaderChar"/>
    <w:uiPriority w:val="99"/>
    <w:rsid w:val="002E57B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074B38"/>
    <w:rPr>
      <w:rFonts w:ascii=".VnTime" w:hAnsi=".VnTime"/>
      <w:sz w:val="28"/>
      <w:szCs w:val="24"/>
      <w:lang w:val="en-US" w:eastAsia="en-US"/>
    </w:rPr>
  </w:style>
  <w:style w:type="paragraph" w:styleId="BalloonText">
    <w:name w:val="Balloon Text"/>
    <w:basedOn w:val="Normal"/>
    <w:link w:val="BalloonTextChar"/>
    <w:semiHidden/>
    <w:unhideWhenUsed/>
    <w:rsid w:val="003367A6"/>
    <w:rPr>
      <w:rFonts w:ascii="Segoe UI" w:hAnsi="Segoe UI" w:cs="Segoe UI"/>
      <w:sz w:val="18"/>
      <w:szCs w:val="18"/>
    </w:rPr>
  </w:style>
  <w:style w:type="character" w:customStyle="1" w:styleId="BalloonTextChar">
    <w:name w:val="Balloon Text Char"/>
    <w:basedOn w:val="DefaultParagraphFont"/>
    <w:link w:val="BalloonText"/>
    <w:semiHidden/>
    <w:rsid w:val="003367A6"/>
    <w:rPr>
      <w:rFonts w:ascii="Segoe UI" w:hAnsi="Segoe UI" w:cs="Segoe UI"/>
      <w:sz w:val="18"/>
      <w:szCs w:val="18"/>
      <w:lang w:val="en-US" w:eastAsia="en-US"/>
    </w:rPr>
  </w:style>
  <w:style w:type="paragraph" w:styleId="ListParagraph">
    <w:name w:val="List Paragraph"/>
    <w:basedOn w:val="Normal"/>
    <w:uiPriority w:val="34"/>
    <w:qFormat/>
    <w:rsid w:val="00E12CEB"/>
    <w:pPr>
      <w:ind w:left="720"/>
      <w:contextualSpacing/>
    </w:pPr>
  </w:style>
  <w:style w:type="character" w:styleId="Hyperlink">
    <w:name w:val="Hyperlink"/>
    <w:basedOn w:val="DefaultParagraphFont"/>
    <w:uiPriority w:val="99"/>
    <w:semiHidden/>
    <w:unhideWhenUsed/>
    <w:rsid w:val="004703B0"/>
    <w:rPr>
      <w:color w:val="0000FF"/>
      <w:u w:val="single"/>
    </w:rPr>
  </w:style>
  <w:style w:type="paragraph" w:styleId="BodyText2">
    <w:name w:val="Body Text 2"/>
    <w:basedOn w:val="Normal"/>
    <w:link w:val="BodyText2Char"/>
    <w:semiHidden/>
    <w:unhideWhenUsed/>
    <w:rsid w:val="00A723E4"/>
    <w:pPr>
      <w:spacing w:after="120" w:line="480" w:lineRule="auto"/>
    </w:pPr>
  </w:style>
  <w:style w:type="character" w:customStyle="1" w:styleId="BodyText2Char">
    <w:name w:val="Body Text 2 Char"/>
    <w:basedOn w:val="DefaultParagraphFont"/>
    <w:link w:val="BodyText2"/>
    <w:semiHidden/>
    <w:rsid w:val="00A723E4"/>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9623">
      <w:bodyDiv w:val="1"/>
      <w:marLeft w:val="0"/>
      <w:marRight w:val="0"/>
      <w:marTop w:val="0"/>
      <w:marBottom w:val="0"/>
      <w:divBdr>
        <w:top w:val="none" w:sz="0" w:space="0" w:color="auto"/>
        <w:left w:val="none" w:sz="0" w:space="0" w:color="auto"/>
        <w:bottom w:val="none" w:sz="0" w:space="0" w:color="auto"/>
        <w:right w:val="none" w:sz="0" w:space="0" w:color="auto"/>
      </w:divBdr>
      <w:divsChild>
        <w:div w:id="261449521">
          <w:marLeft w:val="0"/>
          <w:marRight w:val="0"/>
          <w:marTop w:val="0"/>
          <w:marBottom w:val="0"/>
          <w:divBdr>
            <w:top w:val="none" w:sz="0" w:space="0" w:color="auto"/>
            <w:left w:val="none" w:sz="0" w:space="0" w:color="auto"/>
            <w:bottom w:val="none" w:sz="0" w:space="0" w:color="auto"/>
            <w:right w:val="none" w:sz="0" w:space="0" w:color="auto"/>
          </w:divBdr>
        </w:div>
        <w:div w:id="1606963989">
          <w:marLeft w:val="0"/>
          <w:marRight w:val="0"/>
          <w:marTop w:val="0"/>
          <w:marBottom w:val="0"/>
          <w:divBdr>
            <w:top w:val="none" w:sz="0" w:space="0" w:color="auto"/>
            <w:left w:val="none" w:sz="0" w:space="0" w:color="auto"/>
            <w:bottom w:val="none" w:sz="0" w:space="0" w:color="auto"/>
            <w:right w:val="none" w:sz="0" w:space="0" w:color="auto"/>
          </w:divBdr>
        </w:div>
        <w:div w:id="1983846626">
          <w:marLeft w:val="0"/>
          <w:marRight w:val="0"/>
          <w:marTop w:val="0"/>
          <w:marBottom w:val="0"/>
          <w:divBdr>
            <w:top w:val="none" w:sz="0" w:space="0" w:color="auto"/>
            <w:left w:val="none" w:sz="0" w:space="0" w:color="auto"/>
            <w:bottom w:val="none" w:sz="0" w:space="0" w:color="auto"/>
            <w:right w:val="none" w:sz="0" w:space="0" w:color="auto"/>
          </w:divBdr>
        </w:div>
        <w:div w:id="914172078">
          <w:marLeft w:val="0"/>
          <w:marRight w:val="0"/>
          <w:marTop w:val="0"/>
          <w:marBottom w:val="0"/>
          <w:divBdr>
            <w:top w:val="none" w:sz="0" w:space="0" w:color="auto"/>
            <w:left w:val="none" w:sz="0" w:space="0" w:color="auto"/>
            <w:bottom w:val="none" w:sz="0" w:space="0" w:color="auto"/>
            <w:right w:val="none" w:sz="0" w:space="0" w:color="auto"/>
          </w:divBdr>
        </w:div>
        <w:div w:id="945036867">
          <w:marLeft w:val="0"/>
          <w:marRight w:val="0"/>
          <w:marTop w:val="0"/>
          <w:marBottom w:val="0"/>
          <w:divBdr>
            <w:top w:val="none" w:sz="0" w:space="0" w:color="auto"/>
            <w:left w:val="none" w:sz="0" w:space="0" w:color="auto"/>
            <w:bottom w:val="none" w:sz="0" w:space="0" w:color="auto"/>
            <w:right w:val="none" w:sz="0" w:space="0" w:color="auto"/>
          </w:divBdr>
        </w:div>
      </w:divsChild>
    </w:div>
    <w:div w:id="165368714">
      <w:bodyDiv w:val="1"/>
      <w:marLeft w:val="0"/>
      <w:marRight w:val="0"/>
      <w:marTop w:val="0"/>
      <w:marBottom w:val="0"/>
      <w:divBdr>
        <w:top w:val="none" w:sz="0" w:space="0" w:color="auto"/>
        <w:left w:val="none" w:sz="0" w:space="0" w:color="auto"/>
        <w:bottom w:val="none" w:sz="0" w:space="0" w:color="auto"/>
        <w:right w:val="none" w:sz="0" w:space="0" w:color="auto"/>
      </w:divBdr>
    </w:div>
    <w:div w:id="1721392709">
      <w:bodyDiv w:val="1"/>
      <w:marLeft w:val="0"/>
      <w:marRight w:val="0"/>
      <w:marTop w:val="0"/>
      <w:marBottom w:val="0"/>
      <w:divBdr>
        <w:top w:val="none" w:sz="0" w:space="0" w:color="auto"/>
        <w:left w:val="none" w:sz="0" w:space="0" w:color="auto"/>
        <w:bottom w:val="none" w:sz="0" w:space="0" w:color="auto"/>
        <w:right w:val="none" w:sz="0" w:space="0" w:color="auto"/>
      </w:divBdr>
    </w:div>
    <w:div w:id="1827743974">
      <w:bodyDiv w:val="1"/>
      <w:marLeft w:val="0"/>
      <w:marRight w:val="0"/>
      <w:marTop w:val="0"/>
      <w:marBottom w:val="0"/>
      <w:divBdr>
        <w:top w:val="none" w:sz="0" w:space="0" w:color="auto"/>
        <w:left w:val="none" w:sz="0" w:space="0" w:color="auto"/>
        <w:bottom w:val="none" w:sz="0" w:space="0" w:color="auto"/>
        <w:right w:val="none" w:sz="0" w:space="0" w:color="auto"/>
      </w:divBdr>
    </w:div>
    <w:div w:id="20208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2D1F4-1289-4386-A92E-A35F2462F2B8}"/>
</file>

<file path=customXml/itemProps2.xml><?xml version="1.0" encoding="utf-8"?>
<ds:datastoreItem xmlns:ds="http://schemas.openxmlformats.org/officeDocument/2006/customXml" ds:itemID="{15672FB1-1C34-4483-8D16-B4336A9F8A85}"/>
</file>

<file path=customXml/itemProps3.xml><?xml version="1.0" encoding="utf-8"?>
<ds:datastoreItem xmlns:ds="http://schemas.openxmlformats.org/officeDocument/2006/customXml" ds:itemID="{A8920982-BFF8-4613-9136-8A0D059AFE3C}"/>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phchi</dc:creator>
  <cp:lastModifiedBy>Acer</cp:lastModifiedBy>
  <cp:revision>2</cp:revision>
  <cp:lastPrinted>2023-10-31T04:23:00Z</cp:lastPrinted>
  <dcterms:created xsi:type="dcterms:W3CDTF">2024-10-14T08:42:00Z</dcterms:created>
  <dcterms:modified xsi:type="dcterms:W3CDTF">2024-10-14T08:42:00Z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